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196850</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1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1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JSZC-321200-HWZX-G2026-0586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项目名称：关节镜采购项目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人：泰州市卫生健康委员会</w:t>
      </w:r>
      <w:r/>
    </w:p>
    <w:p>
      <w:pPr>
        <w:pStyle w:val="854"/>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58329824"/>
      <w:r/>
      <w:bookmarkStart w:id="5" w:name="_Toc228679947"/>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关节镜采购项目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58"/>
            <w:rFonts w:hint="eastAsia" w:cs="仿宋" w:asciiTheme="minorEastAsia" w:hAnsiTheme="minorEastAsia" w:eastAsiaTheme="minorEastAsia"/>
            <w:color w:val="000000" w:themeColor="text1"/>
            <w:sz w:val="24"/>
            <w:szCs w:val="24"/>
            <w:u w:val="none"/>
          </w:rPr>
          <w:t xml:space="preserve">，并于</w:t>
        </w:r>
        <w:r>
          <w:rPr>
            <w:rStyle w:val="858"/>
            <w:rFonts w:hint="eastAsia" w:cs="仿宋" w:asciiTheme="minorEastAsia" w:hAnsiTheme="minorEastAsia" w:eastAsiaTheme="minorEastAsia"/>
            <w:color w:val="000000" w:themeColor="text1"/>
            <w:sz w:val="24"/>
            <w:szCs w:val="24"/>
          </w:rPr>
          <w:t xml:space="preserve">2026年</w:t>
        </w:r>
        <w:r>
          <w:rPr>
            <w:rStyle w:val="858"/>
            <w:rFonts w:cs="仿宋" w:asciiTheme="minorEastAsia" w:hAnsiTheme="minorEastAsia" w:eastAsiaTheme="minorEastAsia"/>
            <w:color w:val="000000" w:themeColor="text1"/>
            <w:sz w:val="24"/>
            <w:szCs w:val="24"/>
          </w:rPr>
          <w:t xml:space="preserve">10</w:t>
        </w:r>
        <w:r>
          <w:rPr>
            <w:rStyle w:val="858"/>
            <w:rFonts w:hint="eastAsia" w:cs="仿宋" w:asciiTheme="minorEastAsia" w:hAnsiTheme="minorEastAsia" w:eastAsiaTheme="minorEastAsia"/>
            <w:color w:val="000000" w:themeColor="text1"/>
            <w:sz w:val="24"/>
            <w:szCs w:val="24"/>
          </w:rPr>
          <w:t xml:space="preserve">月</w:t>
        </w:r>
      </w:hyperlink>
      <w:r>
        <w:rPr>
          <w:rStyle w:val="858"/>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u w:val="single"/>
        </w:rPr>
        <w:t xml:space="preserve">日14时</w:t>
      </w:r>
      <w:r>
        <w:rPr>
          <w:rFonts w:cs="仿宋" w:asciiTheme="minorEastAsia" w:hAnsiTheme="minorEastAsia" w:eastAsiaTheme="minorEastAsia"/>
          <w:color w:val="000000" w:themeColor="text1"/>
          <w:sz w:val="24"/>
          <w:szCs w:val="24"/>
          <w:u w:val="single"/>
        </w:rPr>
        <w:t xml:space="preserve">3</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6" w:name="_Toc35393621"/>
      <w:r/>
      <w:bookmarkStart w:id="7" w:name="_Toc35393790"/>
      <w:r/>
      <w:bookmarkStart w:id="8" w:name="_Toc28359079"/>
      <w:r/>
      <w:bookmarkStart w:id="9" w:name="_Toc28359002"/>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JSZC-321200-HWZX-G2026-0586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0675-266JOC003948</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关节镜采购项目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280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280</w:t>
      </w:r>
      <w:r>
        <w:rPr>
          <w:rFonts w:hint="eastAsia" w:cs="仿宋" w:asciiTheme="minorEastAsia" w:hAnsiTheme="minorEastAsia" w:eastAsiaTheme="minorEastAsia"/>
          <w:color w:val="000000" w:themeColor="text1"/>
          <w:sz w:val="24"/>
          <w:szCs w:val="24"/>
        </w:rPr>
        <w:t xml:space="preserve">万元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1"/>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78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r>
        <w:trPr>
          <w:jc w:val="center"/>
          <w:trHeight w:val="72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1"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80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11" w:name="_Toc35393791"/>
      <w:r/>
      <w:bookmarkStart w:id="12" w:name="_Toc28359003"/>
      <w:r/>
      <w:bookmarkStart w:id="13" w:name="_Toc28359080"/>
      <w:r/>
      <w:bookmarkStart w:id="14"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28359004"/>
      <w:r/>
      <w:bookmarkStart w:id="16" w:name="_Toc28359081"/>
      <w:r/>
      <w:bookmarkStart w:id="17" w:name="_Toc35393792"/>
      <w:r/>
      <w:bookmarkStart w:id="18" w:name="_Toc35393623"/>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w:t>
      </w:r>
      <w:r>
        <w:rPr>
          <w:rFonts w:hint="eastAsia" w:ascii="宋体" w:hAnsi="宋体" w:eastAsia="宋体"/>
          <w:sz w:val="24"/>
          <w:szCs w:val="24"/>
        </w:rPr>
        <w:t xml:space="preserve">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bookmarkStart w:id="19" w:name="_Hlk240613521"/>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20" w:name="OLE_LINK1"/>
      <w:r>
        <w:rPr>
          <w:rFonts w:hint="eastAsia" w:ascii="宋体" w:hAnsi="宋体" w:eastAsia="宋体"/>
          <w:bCs/>
          <w:sz w:val="24"/>
          <w:szCs w:val="24"/>
        </w:rPr>
        <w:t xml:space="preserve">/</w:t>
      </w:r>
      <w:bookmarkEnd w:id="20"/>
      <w:r>
        <w:rPr>
          <w:rFonts w:hint="eastAsia" w:ascii="宋体" w:hAnsi="宋体" w:eastAsia="宋体"/>
          <w:bCs/>
          <w:sz w:val="24"/>
          <w:szCs w:val="24"/>
        </w:rPr>
        <w:t xml:space="preserve">医疗器械备案凭证；</w:t>
      </w:r>
      <w:bookmarkEnd w:id="19"/>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21" w:name="_Toc28359082"/>
      <w:r/>
      <w:bookmarkStart w:id="22" w:name="_Toc28359005"/>
      <w:r/>
      <w:bookmarkStart w:id="23" w:name="_Toc35393793"/>
      <w:r/>
      <w:bookmarkStart w:id="24" w:name="_Toc35393624"/>
      <w:r>
        <w:rPr>
          <w:rFonts w:hint="eastAsia" w:cs="仿宋" w:asciiTheme="minorEastAsia" w:hAnsiTheme="minorEastAsia" w:eastAsiaTheme="minorEastAsia"/>
          <w:bCs w:val="0"/>
          <w:color w:val="000000" w:themeColor="text1"/>
          <w:sz w:val="24"/>
          <w:szCs w:val="24"/>
        </w:rPr>
        <w:t xml:space="preserve">四、提交投标文件</w:t>
      </w:r>
      <w:bookmarkEnd w:id="21"/>
      <w:r/>
      <w:bookmarkEnd w:id="22"/>
      <w:r>
        <w:rPr>
          <w:rFonts w:hint="eastAsia" w:cs="仿宋" w:asciiTheme="minorEastAsia" w:hAnsiTheme="minorEastAsia" w:eastAsiaTheme="minorEastAsia"/>
          <w:bCs w:val="0"/>
          <w:color w:val="000000" w:themeColor="text1"/>
          <w:sz w:val="24"/>
          <w:szCs w:val="24"/>
        </w:rPr>
        <w:t xml:space="preserve">截止时间、开标时间和地点</w:t>
      </w:r>
      <w:bookmarkEnd w:id="23"/>
      <w:r/>
      <w:bookmarkEnd w:id="24"/>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时间：2026年10月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日14时30分（北京时间）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25" w:name="_Toc35393625"/>
      <w:r/>
      <w:bookmarkStart w:id="26" w:name="_Toc28359084"/>
      <w:r/>
      <w:bookmarkStart w:id="27" w:name="_Toc28359007"/>
      <w:r/>
      <w:bookmarkStart w:id="28" w:name="_Toc35393794"/>
      <w:r>
        <w:rPr>
          <w:rFonts w:hint="eastAsia" w:cs="仿宋" w:asciiTheme="minorEastAsia" w:hAnsiTheme="minorEastAsia" w:eastAsiaTheme="minorEastAsia"/>
          <w:bCs w:val="0"/>
          <w:color w:val="000000" w:themeColor="text1"/>
          <w:sz w:val="24"/>
          <w:szCs w:val="24"/>
        </w:rPr>
        <w:t xml:space="preserve">五、公告期限</w:t>
      </w:r>
      <w:bookmarkEnd w:id="25"/>
      <w:r/>
      <w:bookmarkEnd w:id="26"/>
      <w:r/>
      <w:bookmarkEnd w:id="27"/>
      <w:r/>
      <w:bookmarkEnd w:id="28"/>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29" w:name="_Toc35393626"/>
      <w:r/>
      <w:bookmarkStart w:id="30" w:name="_Toc35393795"/>
      <w:r>
        <w:rPr>
          <w:rFonts w:hint="eastAsia" w:cs="仿宋" w:asciiTheme="minorEastAsia" w:hAnsiTheme="minorEastAsia" w:eastAsiaTheme="minorEastAsia"/>
          <w:bCs w:val="0"/>
          <w:color w:val="000000" w:themeColor="text1"/>
          <w:sz w:val="24"/>
          <w:szCs w:val="24"/>
        </w:rPr>
        <w:t xml:space="preserve">六、其他补充事宜</w:t>
      </w:r>
      <w:bookmarkEnd w:id="29"/>
      <w:r/>
      <w:bookmarkEnd w:id="30"/>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1" w:name="_Toc28359085"/>
      <w:r/>
      <w:bookmarkStart w:id="32" w:name="_Toc35393627"/>
      <w:r/>
      <w:bookmarkStart w:id="33" w:name="_Toc28359008"/>
      <w:r/>
      <w:bookmarkStart w:id="34" w:name="_Toc35393796"/>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5" w:name="_Hlk142317669"/>
      <w:r>
        <w:rPr>
          <w:rFonts w:hint="eastAsia" w:ascii="宋体" w:hAnsi="宋体" w:eastAsia="宋体" w:cs="宋体"/>
          <w:bCs/>
          <w:sz w:val="24"/>
          <w:szCs w:val="24"/>
        </w:rPr>
        <w:t xml:space="preserve">本项目支持</w:t>
      </w:r>
      <w:bookmarkEnd w:id="35"/>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14"/>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1"/>
      <w:r/>
      <w:bookmarkEnd w:id="32"/>
      <w:r/>
      <w:bookmarkEnd w:id="33"/>
      <w:r/>
      <w:bookmarkEnd w:id="34"/>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称：泰州市卫生健康委员会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6" w:name="_Hlk239925947"/>
      <w:r>
        <w:rPr>
          <w:rFonts w:hint="eastAsia" w:asciiTheme="minorEastAsia" w:hAnsiTheme="minorEastAsia" w:eastAsiaTheme="minorEastAsia"/>
          <w:spacing w:val="8"/>
          <w:sz w:val="24"/>
          <w:szCs w:val="24"/>
          <w:lang w:val="zh-CN"/>
        </w:rPr>
        <w:t xml:space="preserve">胡女士</w:t>
      </w:r>
      <w:bookmarkEnd w:id="36"/>
      <w:r>
        <w:rPr>
          <w:rFonts w:hint="eastAsia" w:asciiTheme="minorEastAsia" w:hAnsiTheme="minorEastAsia" w:eastAsiaTheme="minorEastAsia"/>
          <w:spacing w:val="8"/>
          <w:sz w:val="24"/>
          <w:szCs w:val="24"/>
          <w:lang w:val="zh-CN"/>
        </w:rPr>
        <w:t xml:space="preserve">  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关节镜采购项目</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iCs/>
                <w:color w:val="000000" w:themeColor="text1"/>
                <w:sz w:val="24"/>
                <w:szCs w:val="24"/>
              </w:rPr>
              <w:t xml:space="preserve">280</w:t>
            </w:r>
            <w:r>
              <w:rPr>
                <w:rFonts w:hint="eastAsia" w:cs="仿宋" w:asciiTheme="minorEastAsia" w:hAnsiTheme="minorEastAsia" w:eastAsiaTheme="minorEastAsia"/>
                <w:iCs/>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cs="仿宋" w:asciiTheme="minorEastAsia" w:hAnsiTheme="minorEastAsia" w:eastAsiaTheme="minorEastAsia"/>
                <w:iCs/>
                <w:color w:val="000000" w:themeColor="text1"/>
                <w:sz w:val="24"/>
                <w:szCs w:val="24"/>
              </w:rPr>
              <w:t xml:space="preserve">280</w:t>
            </w:r>
            <w:r>
              <w:rPr>
                <w:rFonts w:hint="eastAsia" w:cs="仿宋" w:asciiTheme="minorEastAsia" w:hAnsiTheme="minorEastAsia" w:eastAsiaTheme="minorEastAsia"/>
                <w:iCs/>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27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2026年10月</w:t>
            </w:r>
            <w:r>
              <w:rPr>
                <w:rFonts w:hint="eastAsia" w:cs="仿宋" w:asciiTheme="minorEastAsia" w:hAnsiTheme="minorEastAsia" w:eastAsiaTheme="minorEastAsia"/>
                <w:color w:val="000000" w:themeColor="text1"/>
                <w:sz w:val="24"/>
                <w:szCs w:val="24"/>
                <w:u w:val="single"/>
              </w:rPr>
              <w:t xml:space="preserve">20</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rPr>
              <w:t xml:space="preserve">14时30分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日14时30分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采购人根据评标委员会推荐的中标候选人顺序确定中标人。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1"/>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7"/>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w:t>
            </w:r>
            <w:r>
              <w:rPr>
                <w:rFonts w:hint="eastAsia" w:cs="仿宋" w:asciiTheme="minorEastAsia" w:hAnsiTheme="minorEastAsia" w:eastAsiaTheme="minorEastAsia"/>
                <w:bCs/>
                <w:color w:val="000000" w:themeColor="text1"/>
                <w:szCs w:val="24"/>
              </w:rPr>
              <w:t xml:space="preserve">用户为各县域医共体单位，资金支付方为各县域医共体单位，因此本项目不适宜由采购人支付代理服务费。领取中标通知书</w:t>
            </w:r>
            <w:r>
              <w:rPr>
                <w:rFonts w:hint="eastAsia" w:cs="仿宋" w:asciiTheme="minorEastAsia" w:hAnsiTheme="minorEastAsia" w:eastAsiaTheme="minorEastAsia"/>
                <w:bCs/>
                <w:color w:val="000000" w:themeColor="text1"/>
                <w:szCs w:val="24"/>
              </w:rPr>
              <w:t xml:space="preserve">前，由中标供应商需</w:t>
            </w:r>
            <w:bookmarkStart w:id="37"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7"/>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948</w:t>
            </w:r>
            <w:r>
              <w:rPr>
                <w:rFonts w:hint="eastAsia" w:cs="仿宋" w:asciiTheme="minorEastAsia" w:hAnsiTheme="minorEastAsia" w:eastAsiaTheme="minorEastAsia"/>
                <w:bCs/>
                <w:color w:val="000000" w:themeColor="text1"/>
                <w:szCs w:val="24"/>
              </w:rPr>
              <w:t xml:space="preserve">代理服</w:t>
            </w:r>
            <w:r>
              <w:rPr>
                <w:rFonts w:hint="eastAsia" w:cs="仿宋" w:asciiTheme="minorEastAsia" w:hAnsiTheme="minorEastAsia" w:eastAsiaTheme="minorEastAsia"/>
                <w:bCs/>
                <w:color w:val="000000" w:themeColor="text1"/>
                <w:szCs w:val="24"/>
              </w:rPr>
              <w:t xml:space="preserve">务费。</w:t>
            </w:r>
            <w:r/>
          </w:p>
          <w:p>
            <w:pPr>
              <w:pStyle w:val="1017"/>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17"/>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7"/>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17"/>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w:t>
            </w:r>
            <w:r>
              <w:rPr>
                <w:rFonts w:hint="eastAsia" w:cs="仿宋" w:asciiTheme="minorEastAsia" w:hAnsiTheme="minorEastAsia" w:eastAsiaTheme="minorEastAsia"/>
                <w:color w:val="000000" w:themeColor="text1"/>
                <w:szCs w:val="24"/>
              </w:rPr>
              <w:t xml:space="preserve">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7"/>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16"/>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101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7"/>
        <w:ind w:firstLine="505"/>
        <w:jc w:val="both"/>
        <w:spacing w:line="360" w:lineRule="auto"/>
        <w:rPr>
          <w:rFonts w:hint="eastAsia" w:cs="仿宋" w:asciiTheme="minorEastAsia" w:hAnsiTheme="minorEastAsia" w:eastAsiaTheme="minorEastAsia"/>
          <w:b/>
          <w:bCs/>
          <w:color w:val="000000" w:themeColor="text1"/>
          <w:szCs w:val="24"/>
        </w:rPr>
      </w:pPr>
      <w:r/>
      <w:bookmarkStart w:id="39" w:name="_Hlk240382291"/>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bookmarkEnd w:id="39"/>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1"/>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w:t>
      </w:r>
      <w:r>
        <w:rPr>
          <w:rFonts w:hint="eastAsia" w:cs="仿宋" w:asciiTheme="minorEastAsia" w:hAnsiTheme="minorEastAsia" w:eastAsiaTheme="minorEastAsia"/>
          <w:color w:val="000000" w:themeColor="text1"/>
          <w:sz w:val="24"/>
          <w:szCs w:val="24"/>
        </w:rPr>
        <w:t xml:space="preserve">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w:t>
      </w:r>
      <w:r>
        <w:rPr>
          <w:rFonts w:hint="eastAsia" w:cs="仿宋" w:asciiTheme="minorEastAsia" w:hAnsiTheme="minorEastAsia" w:eastAsiaTheme="minorEastAsia"/>
          <w:color w:val="000000" w:themeColor="text1"/>
          <w:sz w:val="24"/>
          <w:szCs w:val="24"/>
        </w:rPr>
        <w:t xml:space="preserve">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w:t>
      </w:r>
      <w:r>
        <w:rPr>
          <w:rFonts w:hint="eastAsia" w:cs="仿宋" w:asciiTheme="minorEastAsia" w:hAnsiTheme="minorEastAsia" w:eastAsiaTheme="minorEastAsia"/>
          <w:color w:val="000000" w:themeColor="text1"/>
          <w:sz w:val="24"/>
          <w:szCs w:val="24"/>
        </w:rPr>
        <w:t xml:space="preserve">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bookmarkStart w:id="40" w:name="_Hlk240382006"/>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bookmarkEnd w:id="40"/>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bookmarkStart w:id="41"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17"/>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17"/>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bookmarkEnd w:id="41"/>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7"/>
        <w:ind w:firstLine="431"/>
        <w:jc w:val="both"/>
        <w:spacing w:line="360" w:lineRule="auto"/>
        <w:rPr>
          <w:rFonts w:hint="eastAsia" w:cs="仿宋" w:asciiTheme="minorEastAsia" w:hAnsiTheme="minorEastAsia" w:eastAsiaTheme="minorEastAsia"/>
          <w:color w:val="000000" w:themeColor="text1"/>
          <w:szCs w:val="24"/>
        </w:rPr>
      </w:pPr>
      <w:r/>
      <w:bookmarkStart w:id="42"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我市已正式启用“苏采云”系统，目前已全面开通政府采购线上合同信用融资（以下简称“政采贷”）功能。成交供应商可凭政府采购合同在中征平台发起贷款申请贷款。</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7"/>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w:t>
      </w:r>
      <w:r>
        <w:rPr>
          <w:rFonts w:hint="eastAsia" w:cs="仿宋" w:asciiTheme="minorEastAsia" w:hAnsiTheme="minorEastAsia" w:eastAsiaTheme="minorEastAsia"/>
          <w:color w:val="000000" w:themeColor="text1"/>
          <w:szCs w:val="24"/>
        </w:rPr>
        <w:t xml:space="preserve">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7"/>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3" w:name="_Toc388026586"/>
      <w:r/>
      <w:bookmarkEnd w:id="42"/>
      <w:r/>
      <w:r/>
    </w:p>
    <w:p>
      <w:pPr>
        <w:pStyle w:val="1017"/>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numPr>
          <w:ilvl w:val="0"/>
          <w:numId w:val="4"/>
        </w:numPr>
        <w:ind w:firstLine="0"/>
        <w:jc w:val="center"/>
        <w:spacing w:line="360" w:lineRule="auto"/>
        <w:rPr>
          <w:rFonts w:hint="eastAsia"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Cs w:val="24"/>
        </w:rPr>
      </w:r>
      <w:r/>
    </w:p>
    <w:p>
      <w:pPr>
        <w:pStyle w:val="1017"/>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3"/>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44" w:name="_Toc409438821"/>
      <w:r/>
      <w:bookmarkStart w:id="45" w:name="_Toc388026588"/>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1"/>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6"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6"/>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97"/>
        <w:gridCol w:w="3029"/>
        <w:gridCol w:w="1864"/>
      </w:tblGrid>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泰州市中西医结合医院医共体</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泰州市第四人民医院医共体</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泰州市第四人民医院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2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2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2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center"/>
        <w:spacing w:line="360" w:lineRule="auto"/>
        <w:tabs>
          <w:tab w:val="left" w:pos="1260" w:leader="none"/>
        </w:tabs>
        <w:rPr>
          <w:rFonts w:hint="eastAsia" w:ascii="宋体" w:hAnsi="宋体" w:eastAsia="宋体" w:cs="宋体"/>
          <w:b/>
          <w:sz w:val="30"/>
          <w:szCs w:val="30"/>
        </w:rPr>
      </w:pPr>
      <w:r>
        <w:rPr>
          <w:rFonts w:hint="eastAsia" w:ascii="宋体" w:hAnsi="宋体" w:eastAsia="宋体" w:cs="宋体"/>
          <w:b/>
          <w:sz w:val="30"/>
          <w:szCs w:val="30"/>
        </w:rPr>
        <w:t xml:space="preserve">第一包：关节镜系统（2</w:t>
      </w:r>
      <w:r>
        <w:rPr>
          <w:rFonts w:ascii="宋体" w:hAnsi="宋体" w:eastAsia="宋体" w:cs="宋体"/>
          <w:b/>
          <w:sz w:val="30"/>
          <w:szCs w:val="30"/>
        </w:rPr>
        <w:t xml:space="preserve">00</w:t>
      </w:r>
      <w:r>
        <w:rPr>
          <w:rFonts w:hint="eastAsia" w:ascii="宋体" w:hAnsi="宋体" w:eastAsia="宋体" w:cs="宋体"/>
          <w:b/>
          <w:sz w:val="30"/>
          <w:szCs w:val="30"/>
        </w:rPr>
        <w:t xml:space="preserve">万元）</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（一）关节镜影像系统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（1）4K超高清摄像主机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1.设备结构：采用光源摄像一体机设计</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▲2.视频输出分辨率：≥4K（3840×2160）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3.操作界面：配备LCD触摸屏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4.输出接口：包含3G-SDI、DisplayPort、USB-2.0、USB-3.0、HDMI接口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5.调节功能：支持增强、曝光、亮度、变焦、色彩等专业参数调节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6.手术模式：支持术式≥10种，至少包含肩关节、膝关节、髋关节、小关节术式，可自定义任意手术模式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▲7.显示定制：支持监视器显示定制化信息，至少包含拍摄图像预览、录制时间、设备状态等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8.信噪比：≥35dB</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1.光源类型：LED冷光源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2.色温：5500-6200K可调。具备光纤接口自动检测功能（无光纤接入时自动待机保护）。</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▲3.使用寿命：≥30000小时</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4.电源输入：～220V，50Hz。额定功率：≤250VA。</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5.白平衡调节：支持至少2种调节方式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6.光缆设计：光缆长度≥2.7m，光纤直接≥5mm,导光束支持高温高压消毒、环氧乙烷灭菌。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（3）摄像头及耦合器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▲1.摄像头采用高性能CMOS传感器，可减少伪影并优化分辨率。</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▲2.控制按钮：配备可编程按钮≥3个，支持≥6种预设功能，可自定义遥控功能；防水等级：≥IPX7</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3.机身接口：采用钛材质机身</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4.灭菌方式：可高温高压消毒灭菌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▲5.耦合器为可调焦型，焦距手动/自动可调，调节范围≥15mm，以适应不同视野深度。（备注：可适配该品牌摄像头，接口通用）。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（4）图像管理系统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1.存储分辨率：存储图像和视频分辨率≥4K</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2.存储容量：存储内存≥1T，支持超高速USB3.0连接</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3.定制功能：支持图像、视频、文本、音频及医生报告格式定制化</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4.操作界面：全中文用户界面，配备LCD触摸屏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5.格式支持：</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图像格式：至少包含JPG、PNG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视频格式：至少包含MP4、MOV</w:t>
      </w:r>
      <w:r/>
    </w:p>
    <w:p>
      <w:pPr>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视频编码格式：至少支持H.264</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（投标时提供产品白皮书或功能界面截图佐证材料）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（5）关节镜及入路系统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▲1.镜头规格：镜体外径≥4.0mm，工作长度≥160mm，视向角30°；</w:t>
      </w:r>
      <w:r/>
    </w:p>
    <w:p>
      <w:pPr>
        <w:ind w:firstLine="16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镜体外径≥4.0mm，工作长度≥160mm，视向角70°；</w:t>
      </w:r>
      <w:r/>
    </w:p>
    <w:p>
      <w:pPr>
        <w:ind w:firstLine="16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镜体外径≤2.75mm，工作长度≥72mm，视向角30°；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▲2.光学参数：最大景深≥120mm，视场角≥105°</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3.镜头要求：宝石镜面，与摄像系统为同一品牌，支持4K</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4.闭孔器：至少提供锥形闭孔器、钝形闭孔器两种可选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5.灭菌方式：镜头可高温高压消毒灭菌</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（二）等离子射频汽化系统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1.显示功能：配备液晶显示屏，可实时显示刀头种类、切割功率、消融功率、档位（或温度）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2.输出模式：至少包含消融模式、凝血模式、低温消融模式，具备混合模式。凝血控制：凝血模式下可显示电极头端温度，并按设定温度进行控制。（提供使用说明书中相关技术描述）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3.刀头功率：配套射频刀头最大功率≥400W</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▲4.刀头控制：配备手控射频刀头；脚踏设备：配备无线脚踏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5.识别功能：可根据刀头类型自动识别刀头</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（三）动力刨削系统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1.显示功能：动力刨削主机配备液晶屏幕，可实时显示刨削手机状态，工作模式，转速等信息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▲2.接口配置：主机配备3个接口，分别可连接动力刨削手柄、远程控制器、脚踏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▲3.脚踏开关（地面使用）：防水等级≥IPX7，主机（台车上）：外壳防护等级≥IPX1</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▲4.转速参数：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刨削手柄转速范围：500-10000rpm，具备无极调速功能，术中可连续、无极调节转速。（需提供主机面板或脚踏控制证明）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往复运动转速：500-3500rpm</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5.扭力：≥150N/mm，具备扭矩补偿功能（负荷增大时自动提升扭矩，防止卡顿）</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6.刨刀功能：刨刀可自动激活抽吸功能，支持正向、反向、往复三个方向调节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7.刀头配置：提供不同长度、不同头端直径的刀头及磨头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8.功能刀头：配备可同时实现软组织清理与骨清理功能的刀头；脚踏设备：配备有线脚踏</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（四）灌注系统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1.压力设定：压力调节范围20-150mmHg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2.抽吸流量：抽吸流量可调节，调节档位≥4档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3.止血功能：具备加压止血功能，可定时增加流量与压力，实现血流控制及视野清理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4.杂质清除：具备清除杂质功能，可在维持腔内压力稳定的同时增加流量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5.冲洗压力：冲洗压力调节范围20-150mmHg（调节步幅5mmHg）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6.工作模式：支持冲洗模式</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（五）通用要求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★1.品牌一致性：影像系统（含摄像主机、光源）、摄像头、耦合器、镜头、图像管理系统、显示器、动力刨削系统需为同一品牌。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原厂专用台车，具备≥4个万向静音脚轮（至少2个带刹车）。台车需具备升降调节功能或显示器支臂，可承重≥50kg。具备线缆管理系统（理线槽/绑带）。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（六）配置要求</w:t>
      </w:r>
      <w:r/>
    </w:p>
    <w:tbl>
      <w:tblPr>
        <w:tblStyle w:val="855"/>
        <w:tblW w:w="7225" w:type="dxa"/>
        <w:jc w:val="center"/>
        <w:tblLook w:val="04A0" w:firstRow="1" w:lastRow="0" w:firstColumn="1" w:lastColumn="0" w:noHBand="0" w:noVBand="1"/>
      </w:tblPr>
      <w:tblGrid>
        <w:gridCol w:w="1081"/>
        <w:gridCol w:w="5010"/>
        <w:gridCol w:w="1134"/>
      </w:tblGrid>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9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4K一体高清摄像控制系统及4K图像管理系统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套</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32寸显示器（4K）</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4K高清摄像头</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光学耦合器</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光纤（导光束）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4根</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配套消毒盒</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4mm 30°内窥镜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4mm 70°内窥镜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 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2.75mm 30°内窥镜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双阀镜鞘</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金属钝头穿刺锥</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内窥镜手术动力设备（动力刨削系统主机）</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无线脚踏开关</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刨削手柄</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脚踏开关</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体位固定架（侧卧位/俯卧位）</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刨刀/磨头</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等离子射频汽化系统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篮钳（多种规格）</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24个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探勾</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一体化集成过线器</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2把</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医用台车</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前交叉韧带重建器械，如股骨钻、胫骨钻（多规格）、取键器、瞄准定位器（多规格）、胫骨空心钻头（多规格）、股骨空心钻头（多规格）、韧带开口测量器、韧带工作台、测深尺、后叉保护器、前叉点对点定</w:t>
            </w:r>
            <w:r>
              <w:rPr>
                <w:rFonts w:hint="eastAsia" w:ascii="宋体" w:hAnsi="宋体" w:eastAsia="宋体" w:cs="宋体"/>
                <w:sz w:val="24"/>
                <w:szCs w:val="24"/>
              </w:rPr>
              <w:t xml:space="preserve">位器、后叉胫骨定位器、定位钻套、抓线钳、导针、界面钉上钉器、20°微骨折锥</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2套</w:t>
            </w:r>
            <w:r/>
          </w:p>
        </w:tc>
      </w:tr>
    </w:tbl>
    <w:p>
      <w:pPr>
        <w:jc w:val="left"/>
        <w:spacing w:line="360" w:lineRule="auto"/>
        <w:tabs>
          <w:tab w:val="left" w:pos="1260" w:leader="none"/>
        </w:tabs>
        <w:rPr>
          <w:rFonts w:hint="eastAsia" w:ascii="宋体" w:hAnsi="宋体" w:eastAsia="宋体" w:cs="宋体"/>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宋体"/>
          <w:sz w:val="24"/>
          <w:szCs w:val="24"/>
        </w:rPr>
      </w:r>
      <w:r/>
    </w:p>
    <w:p>
      <w:pPr>
        <w:jc w:val="center"/>
        <w:spacing w:line="360" w:lineRule="auto"/>
        <w:tabs>
          <w:tab w:val="left" w:pos="1260" w:leader="none"/>
        </w:tabs>
        <w:rPr>
          <w:rFonts w:hint="eastAsia" w:ascii="宋体" w:hAnsi="宋体" w:eastAsia="宋体" w:cs="宋体"/>
          <w:b/>
          <w:sz w:val="30"/>
          <w:szCs w:val="30"/>
        </w:rPr>
      </w:pPr>
      <w:r>
        <w:rPr>
          <w:rFonts w:hint="eastAsia" w:ascii="宋体" w:hAnsi="宋体" w:eastAsia="宋体" w:cs="宋体"/>
          <w:b/>
          <w:sz w:val="30"/>
          <w:szCs w:val="30"/>
        </w:rPr>
        <w:t xml:space="preserve">第二包：关节镜系统（</w:t>
      </w:r>
      <w:r>
        <w:rPr>
          <w:rFonts w:ascii="宋体" w:hAnsi="宋体" w:eastAsia="宋体" w:cs="宋体"/>
          <w:b/>
          <w:sz w:val="30"/>
          <w:szCs w:val="30"/>
        </w:rPr>
        <w:t xml:space="preserve">80万元</w:t>
      </w:r>
      <w:r>
        <w:rPr>
          <w:rFonts w:hint="eastAsia" w:ascii="宋体" w:hAnsi="宋体" w:eastAsia="宋体" w:cs="宋体"/>
          <w:b/>
          <w:sz w:val="30"/>
          <w:szCs w:val="30"/>
        </w:rPr>
        <w:t xml:space="preserve">）</w:t>
      </w:r>
      <w:r/>
    </w:p>
    <w:p>
      <w:pPr>
        <w:jc w:val="left"/>
        <w:spacing w:line="360" w:lineRule="auto"/>
        <w:tabs>
          <w:tab w:val="left" w:pos="1260" w:leader="none"/>
        </w:tabs>
        <w:rPr>
          <w:rFonts w:hint="eastAsia" w:ascii="宋体" w:hAnsi="宋体" w:eastAsia="宋体" w:cs="宋体"/>
          <w:b/>
          <w:sz w:val="28"/>
          <w:szCs w:val="28"/>
        </w:rPr>
      </w:pPr>
      <w:r>
        <w:rPr>
          <w:rFonts w:hint="eastAsia" w:ascii="宋体" w:hAnsi="宋体" w:eastAsia="宋体" w:cs="宋体"/>
          <w:b/>
          <w:sz w:val="28"/>
          <w:szCs w:val="28"/>
        </w:rPr>
        <w:t xml:space="preserve">▲一、4K超高清内窥镜摄像系统所有产品需同一品牌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b/>
          <w:sz w:val="28"/>
          <w:szCs w:val="28"/>
        </w:rPr>
        <w:t xml:space="preserve">二、4K超高清内窥镜摄像及光源一体化系统：</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2.1、4K超高清内窥镜摄像主机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2.1.1主机视频输出分辨率：4K （3840×2160），像素是高清的四倍。</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2.1.2.扫描方式：逐行扫描。输出接口：4×3G -SDI、HD -SDI等多种输出制式。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2.1.3.摄像主机信噪比≥38db。</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2.1.4.显示色彩≥10亿色（10Bit）。</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2.1.5．可实时捕捉影像和视频，图像和视频自动USB 存储设备。 </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2.1.6.多种客户定制模式，全面支持关节镜，腹腔镜，宫腔镜等多种腔镜模式。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2.1.7．电子亮度控制，实时影像处理功能较少眩光并增强景深。</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▲2.1.8.独立（非集成）4K超高清医用监视器,屏幕≥32英寸，分辨率≥3840*2160显示定制化信息。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2.1.9.关节镜专用台车</w:t>
      </w:r>
      <w:r/>
    </w:p>
    <w:p>
      <w:pPr>
        <w:jc w:val="left"/>
        <w:spacing w:line="360" w:lineRule="auto"/>
        <w:tabs>
          <w:tab w:val="left" w:pos="540" w:leader="none"/>
        </w:tabs>
        <w:rPr>
          <w:rFonts w:hint="eastAsia" w:ascii="宋体" w:hAnsi="宋体" w:eastAsia="宋体" w:cs="宋体"/>
          <w:b/>
          <w:sz w:val="24"/>
          <w:szCs w:val="24"/>
        </w:rPr>
      </w:pPr>
      <w:r>
        <w:rPr>
          <w:rFonts w:hint="eastAsia" w:ascii="宋体" w:hAnsi="宋体" w:eastAsia="宋体" w:cs="宋体"/>
          <w:b/>
          <w:sz w:val="24"/>
          <w:szCs w:val="24"/>
        </w:rPr>
        <w:t xml:space="preserve">2.2、光源 </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2.2.1光源类型：LED冷光源，与摄像主机一体化。</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2.2.2寿命≥30000小时，可通过面板按钮及摄像头按钮进行控制。</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2.2.3光强度可主机调节，支持冷启动。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2.2.4光缆灭菌方式：高温高压、低温等离子。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2.2.5光通度≥1600lm(流明)。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2.2.6 光源高兼容性：可兼容光纤品牌≥3家。</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3、摄像头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★3.1 4K超高清摄像头：3-CMOS传感器，可减少伪影并优化分辨率。</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 按钮：≤4个可编程按钮6种预设功能，可自定义遥控实时开启光源、白平衡、拍照和摄像、亮度调节、变焦调节、曝光调节功能。</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3.3机身：C-Mount标准接口。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3.4灭菌方式：高温高压、低温等离子等离子灭菌。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3.5摄像头防水等级≥IPX7。</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▲3.6额定的CF值防止电击。</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3.7 耦合器可高温高压灭菌</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4、关节镜</w:t>
      </w:r>
      <w:r>
        <w:rPr>
          <w:rFonts w:hint="eastAsia" w:ascii="宋体" w:hAnsi="宋体" w:eastAsia="宋体" w:cs="宋体"/>
          <w:b/>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4.1可高温高压消毒4mm关节镜，视向角30°，工作长度≥160mm，镜子蓝宝石镜头，可高温高压灭菌，视场角≥105° 。</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4.2 镜面有防眩防雾处理，使手术视野时刻保持清晰。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4.3 套管≥6mm  双阀、可旋转套管。</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4.4</w:t>
      </w:r>
      <w:r>
        <w:rPr>
          <w:rFonts w:hint="eastAsia" w:ascii="宋体" w:hAnsi="宋体" w:eastAsia="宋体" w:cs="宋体"/>
          <w:sz w:val="24"/>
          <w:szCs w:val="24"/>
        </w:rPr>
        <w:t xml:space="preserve">钝穿刺锥  金属材质</w:t>
      </w:r>
      <w:r>
        <w:rPr>
          <w:rFonts w:hint="eastAsia" w:ascii="宋体" w:hAnsi="宋体" w:eastAsia="宋体" w:cs="宋体"/>
          <w:sz w:val="24"/>
          <w:szCs w:val="24"/>
        </w:rPr>
        <w:tab/>
        <w:t xml:space="preserve">。</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5、动力系统</w:t>
      </w:r>
      <w:r>
        <w:rPr>
          <w:rFonts w:hint="eastAsia" w:ascii="宋体" w:hAnsi="宋体" w:eastAsia="宋体" w:cs="宋体"/>
          <w:b/>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5.1动力主机（非集成）</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5.1.1一机多用，液晶屏彩</w:t>
      </w:r>
      <w:r>
        <w:rPr>
          <w:rFonts w:hint="eastAsia" w:ascii="宋体" w:hAnsi="宋体" w:eastAsia="宋体" w:cs="宋体"/>
          <w:sz w:val="24"/>
          <w:szCs w:val="24"/>
        </w:rPr>
        <w:t xml:space="preserve">色显示，可连接刨削手柄，可满足多种手术。可同时两路使用。</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5.1.2具备窗锁功能:刨刀可以停留在预想位置，方便术中调整刀头开口，可保护患者软组织。</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▲5.1.3扭矩：≥32 0Z-in/225.97mN·m </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5.1.4双模式设计，提供不同转速和不同运行模式，使切割组织更加高效便捷，医生无需关心刨刀转速。</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5.1.5自动识别刀头，可提供多种直径的刨刀和磨头</w:t>
      </w:r>
      <w:r>
        <w:rPr>
          <w:rFonts w:hint="eastAsia" w:ascii="宋体" w:hAnsi="宋体" w:eastAsia="宋体" w:cs="宋体"/>
          <w:sz w:val="24"/>
          <w:szCs w:val="24"/>
        </w:rPr>
        <w:t xml:space="preserve">。 </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▲5.1.6最高正反转速：≥10000rpm，最高往复转速≥3000rpm。</w:t>
      </w:r>
      <w:r>
        <w:rPr>
          <w:rFonts w:hint="eastAsia" w:ascii="宋体" w:hAnsi="宋体" w:eastAsia="宋体" w:cs="宋体"/>
          <w:sz w:val="24"/>
          <w:szCs w:val="24"/>
        </w:rPr>
        <w:tab/>
        <w:t xml:space="preserve"> </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5.2超强大功率手控刨削手柄1个。</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5.2.1防滑、双手柄接口及双槽卡口设计。</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5.2.2可高温高压消毒。</w:t>
      </w:r>
      <w:r>
        <w:rPr>
          <w:rFonts w:hint="eastAsia" w:ascii="宋体" w:hAnsi="宋体" w:eastAsia="宋体" w:cs="宋体"/>
          <w:sz w:val="24"/>
          <w:szCs w:val="24"/>
        </w:rPr>
        <w:tab/>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5.2.3按键≥3，可用于正转，反转，往复转，窗锁，调整转速等功能。</w:t>
      </w:r>
      <w:r/>
    </w:p>
    <w:p>
      <w:pPr>
        <w:jc w:val="left"/>
        <w:spacing w:line="360" w:lineRule="auto"/>
        <w:tabs>
          <w:tab w:val="left" w:pos="1260" w:leader="none"/>
        </w:tabs>
        <w:rPr>
          <w:rFonts w:hint="eastAsia" w:ascii="宋体" w:hAnsi="宋体" w:eastAsia="宋体" w:cs="宋体"/>
          <w:b/>
          <w:sz w:val="28"/>
          <w:szCs w:val="28"/>
        </w:rPr>
      </w:pPr>
      <w:r>
        <w:rPr>
          <w:rFonts w:hint="eastAsia" w:ascii="宋体" w:hAnsi="宋体" w:eastAsia="宋体" w:cs="宋体"/>
          <w:b/>
          <w:sz w:val="28"/>
          <w:szCs w:val="28"/>
        </w:rPr>
        <w:t xml:space="preserve">三、手术器械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3.1 篮钳：鸭嘴状篮钳左弯≥1把、鸭嘴状篮钳右弯≥1把、直型卵圆篮钳≥1把。</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 探针≥1把、抓钳≥2把、推结器、剪线器。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 前交叉韧带重建器械：股骨钻、胫骨钻（多种规格）、取腱器、瞄准器、测深尺等。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 手动器械采用不可拆卸无销钉设计，滑杆结构，455精钢制作。</w:t>
      </w:r>
      <w:r/>
    </w:p>
    <w:p>
      <w:pPr>
        <w:jc w:val="left"/>
        <w:spacing w:line="360" w:lineRule="auto"/>
        <w:tabs>
          <w:tab w:val="left" w:pos="1260" w:leader="none"/>
        </w:tabs>
        <w:rPr>
          <w:rFonts w:hint="eastAsia" w:ascii="宋体" w:hAnsi="宋体" w:eastAsia="宋体" w:cs="宋体"/>
          <w:b/>
          <w:sz w:val="28"/>
          <w:szCs w:val="28"/>
        </w:rPr>
      </w:pPr>
      <w:r>
        <w:rPr>
          <w:rFonts w:hint="eastAsia" w:ascii="宋体" w:hAnsi="宋体" w:eastAsia="宋体" w:cs="宋体"/>
          <w:b/>
          <w:sz w:val="28"/>
          <w:szCs w:val="28"/>
        </w:rPr>
        <w:t xml:space="preserve">★四、配置清单</w:t>
      </w:r>
      <w:r/>
    </w:p>
    <w:tbl>
      <w:tblPr>
        <w:tblW w:w="6156" w:type="dxa"/>
        <w:jc w:val="center"/>
        <w:tblLook w:val="04A0" w:firstRow="1" w:lastRow="0" w:firstColumn="1" w:lastColumn="0" w:noHBand="0" w:noVBand="1"/>
      </w:tblPr>
      <w:tblGrid>
        <w:gridCol w:w="750"/>
        <w:gridCol w:w="1939"/>
        <w:gridCol w:w="2495"/>
        <w:gridCol w:w="972"/>
      </w:tblGrid>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tcPr>
          <w:p>
            <w:pPr>
              <w:jc w:val="center"/>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产品描述</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9" w:type="dxa"/>
            <w:vAlign w:val="center"/>
            <w:vMerge w:val="restart"/>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关节镜摄像系统</w:t>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摄像控制主机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光纤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耦合器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监视器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台车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39" w:type="dxa"/>
            <w:vAlign w:val="center"/>
            <w:vMerge w:val="restart"/>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4.0mm 关节镜</w:t>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关节镜（30°）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套管,</w:t>
            </w:r>
            <w:r>
              <w:rPr>
                <w:rFonts w:hint="eastAsia" w:ascii="宋体" w:hAnsi="宋体" w:eastAsia="宋体" w:cs="宋体"/>
                <w:sz w:val="24"/>
                <w:szCs w:val="24"/>
              </w:rPr>
              <w:t xml:space="preserve"> 双</w:t>
            </w:r>
            <w:r>
              <w:rPr>
                <w:rFonts w:hint="eastAsia" w:ascii="宋体" w:hAnsi="宋体" w:eastAsia="宋体" w:cs="宋体"/>
                <w:sz w:val="24"/>
                <w:szCs w:val="24"/>
              </w:rPr>
              <w:t xml:space="preserve">阀,</w:t>
            </w:r>
            <w:r>
              <w:rPr>
                <w:rFonts w:hint="eastAsia" w:ascii="宋体" w:hAnsi="宋体" w:eastAsia="宋体" w:cs="宋体"/>
                <w:sz w:val="24"/>
                <w:szCs w:val="24"/>
              </w:rPr>
              <w:t xml:space="preserve"> 可旋转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关节镜用穿戳器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39" w:type="dxa"/>
            <w:vAlign w:val="center"/>
            <w:vMerge w:val="restart"/>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动力刨削系统</w:t>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动力主机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大功率刨削手柄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器械</w:t>
            </w:r>
            <w:r/>
          </w:p>
        </w:tc>
        <w:tc>
          <w:tcPr>
            <w:tcBorders>
              <w:top w:val="single" w:color="000000" w:sz="4" w:space="0"/>
              <w:left w:val="single" w:color="000000" w:sz="4" w:space="0"/>
              <w:bottom w:val="single" w:color="000000" w:sz="4" w:space="0"/>
              <w:right w:val="single" w:color="000000" w:sz="4" w:space="0"/>
            </w:tcBorders>
            <w:tcW w:w="2495" w:type="dxa"/>
            <w:vAlign w:val="center"/>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篮钳，鸭嘴状，直柄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r>
    </w:tbl>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bCs/>
          <w:sz w:val="28"/>
          <w:szCs w:val="28"/>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宋体"/>
          <w:b/>
          <w:bCs/>
          <w:sz w:val="28"/>
          <w:szCs w:val="28"/>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bookmarkStart w:id="47" w:name="OLE_LINK4"/>
            <w:r>
              <w:rPr>
                <w:rFonts w:ascii="宋体" w:hAnsi="宋体" w:eastAsia="宋体" w:cs="仿宋"/>
                <w:sz w:val="24"/>
                <w:szCs w:val="24"/>
              </w:rPr>
              <w:t xml:space="preserve">合同签订后60个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bookmarkEnd w:id="47"/>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1、提供不少于五年的原厂免费质保（镜子和器械质保不少于一年）。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r/>
          </w:p>
          <w:p>
            <w:pPr>
              <w:spacing w:line="360" w:lineRule="auto"/>
              <w:rPr>
                <w:rFonts w:hint="eastAsia"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、计算时间以签署验收合格文件之日为准。</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，向最终用户开具真实、合法的全额销售发票，最终用户在收到发票后30日内向中标供应商支付剩余货款。</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验收方式及标准</w:t>
            </w:r>
            <w:r/>
          </w:p>
        </w:tc>
        <w:tc>
          <w:tcPr>
            <w:tcW w:w="3694" w:type="pct"/>
            <w:vAlign w:val="center"/>
            <w:textDirection w:val="lrTb"/>
            <w:noWrap w:val="false"/>
          </w:tcPr>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一、验收方式：</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2.投标人负责货物的安装、调试、试用过程中的现场安全管理，若安装、调试及试用过程中发生安全事故，投标人应承担全部责任。</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验收标准：</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二、货物验收标准：</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（2）质量要求应达到前述规定的技术标准，且应使采购</w:t>
            </w:r>
            <w:r>
              <w:rPr>
                <w:rFonts w:hint="eastAsia" w:asciiTheme="minorEastAsia" w:hAnsiTheme="minorEastAsia" w:eastAsiaTheme="minorEastAsia"/>
                <w:sz w:val="24"/>
                <w:szCs w:val="18"/>
              </w:rPr>
              <w:t xml:space="preserve">人在质保期及质保期过后的设计寿命周期内能实现正常使用的目的。</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r/>
          </w:p>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③货物性能考核指标：</w:t>
            </w:r>
            <w:r/>
          </w:p>
          <w:p>
            <w:pPr>
              <w:spacing w:line="360" w:lineRule="auto"/>
              <w:rPr>
                <w:rFonts w:hint="eastAsia" w:ascii="宋体" w:hAnsi="宋体" w:eastAsia="宋体" w:cs="仿宋"/>
                <w:sz w:val="24"/>
                <w:szCs w:val="24"/>
              </w:rPr>
            </w:pPr>
            <w:r>
              <w:rPr>
                <w:rFonts w:hint="eastAsia" w:asciiTheme="minorEastAsia" w:hAnsiTheme="minorEastAsia" w:eastAsiaTheme="minorEastAsia"/>
                <w:sz w:val="24"/>
                <w:szCs w:val="18"/>
              </w:rPr>
              <w:t xml:space="preserve">不得低于上述货物验收标准中的指标。具体指标签订合同时根据采购文件和投标文件确定。</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1、保修期内卖方保证货物完好率不低于9</w:t>
            </w:r>
            <w:r>
              <w:rPr>
                <w:rFonts w:ascii="宋体" w:hAnsi="宋体" w:eastAsia="宋体" w:cs="仿宋"/>
                <w:bCs/>
                <w:sz w:val="24"/>
                <w:szCs w:val="24"/>
              </w:rPr>
              <w:t xml:space="preserve">5</w:t>
            </w:r>
            <w:r>
              <w:rPr>
                <w:rFonts w:hint="eastAsia" w:ascii="宋体" w:hAnsi="宋体" w:eastAsia="宋体" w:cs="仿宋"/>
                <w:bCs/>
                <w:sz w:val="24"/>
                <w:szCs w:val="24"/>
              </w:rPr>
              <w:t xml:space="preserve">%，如因货物质量问题导致货物部分或全部功能停用率超过</w:t>
            </w:r>
            <w:r>
              <w:rPr>
                <w:rFonts w:ascii="宋体" w:hAnsi="宋体" w:eastAsia="宋体" w:cs="仿宋"/>
                <w:bCs/>
                <w:sz w:val="24"/>
                <w:szCs w:val="24"/>
              </w:rPr>
              <w:t xml:space="preserve">5</w:t>
            </w:r>
            <w:r>
              <w:rPr>
                <w:rFonts w:hint="eastAsia" w:ascii="宋体" w:hAnsi="宋体" w:eastAsia="宋体" w:cs="仿宋"/>
                <w:bCs/>
                <w:sz w:val="24"/>
                <w:szCs w:val="24"/>
              </w:rPr>
              <w:t xml:space="preserve">%（一年按365天计算，每年18天），则每超过一天，质保期延长两周。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2、质保范围：合同项目下所有货物，包括配套附件、软件等所出现的任何故障及性能偏差。</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3、质保期外如需更换配件,卖方保证先维修后收费，所更换的配件保修不少于一年，配套软件升级更新免费。</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4、投标人保证对所供设备进行不少于每季度一次的免费保养维护及性能检测。</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5、投标人保证有充足的备件确保故障设备在接到采购人报修电话48小时内现场修复。需返厂维修的设备，投标人承担拆卸、包装、运输及再安装等费用。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6、投标人保证所有的保养维护工作填写相关技术档案并由双方签字确认。</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7、投标人应免费提供便于甲方自行维护维修设备所需的说明书等维护维修必须的材料和信息并保证及时提供维修配件。</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8、设备如需使用专用耗材、试剂或在维修保养中需要专</w:t>
            </w:r>
            <w:r>
              <w:rPr>
                <w:rFonts w:hint="eastAsia" w:ascii="宋体" w:hAnsi="宋体" w:eastAsia="宋体" w:cs="仿宋"/>
                <w:bCs/>
                <w:sz w:val="24"/>
                <w:szCs w:val="24"/>
              </w:rPr>
              <w:t xml:space="preserve">用工具、易损件、维修配件，则应在合同签订时提供耗材配件供货清单及报价表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9、上述条款需经设备厂商或厂商指定的售后服务机构另行书面确认或直接加盖公章确认并在最终验收前提交给采购人。如涉及其他厂商产品则须得到该厂商的售后服务保证。</w:t>
            </w:r>
            <w:r/>
          </w:p>
          <w:p>
            <w:pPr>
              <w:spacing w:line="360" w:lineRule="auto"/>
              <w:rPr>
                <w:rFonts w:hint="eastAsia" w:ascii="宋体" w:hAnsi="宋体" w:eastAsia="宋体" w:cs="仿宋"/>
                <w:bCs/>
                <w:iCs/>
                <w:sz w:val="24"/>
                <w:szCs w:val="24"/>
              </w:rPr>
            </w:pPr>
            <w:r>
              <w:rPr>
                <w:rFonts w:hint="eastAsia" w:ascii="宋体" w:hAnsi="宋体" w:eastAsia="宋体" w:cs="仿宋"/>
                <w:bCs/>
                <w:sz w:val="24"/>
                <w:szCs w:val="24"/>
              </w:rPr>
              <w:t xml:space="preserve">10、售后服务机构：</w:t>
            </w:r>
            <w:r>
              <w:rPr>
                <w:rFonts w:hint="eastAsia" w:ascii="宋体" w:hAnsi="宋体" w:eastAsia="宋体" w:cs="仿宋"/>
                <w:bCs/>
                <w:iCs/>
                <w:sz w:val="24"/>
                <w:szCs w:val="24"/>
              </w:rPr>
              <w:t xml:space="preserve">原厂保修，</w:t>
            </w:r>
            <w:r>
              <w:rPr>
                <w:rFonts w:hint="eastAsia" w:ascii="宋体" w:hAnsi="宋体" w:eastAsia="宋体" w:cs="仿宋"/>
                <w:bCs/>
                <w:sz w:val="24"/>
                <w:szCs w:val="24"/>
              </w:rPr>
              <w:t xml:space="preserve">投标人</w:t>
            </w:r>
            <w:r>
              <w:rPr>
                <w:rFonts w:hint="eastAsia" w:ascii="宋体" w:hAnsi="宋体" w:eastAsia="宋体" w:cs="仿宋"/>
                <w:iCs/>
                <w:sz w:val="24"/>
                <w:szCs w:val="24"/>
              </w:rPr>
              <w:t xml:space="preserve">应在验收时提供符合采购人要求的原厂质保证明材料</w:t>
            </w:r>
            <w:r>
              <w:rPr>
                <w:rFonts w:hint="eastAsia" w:ascii="宋体" w:hAnsi="宋体" w:eastAsia="宋体" w:cs="仿宋"/>
                <w:bCs/>
                <w:iCs/>
                <w:sz w:val="24"/>
                <w:szCs w:val="24"/>
              </w:rPr>
              <w:t xml:space="preserve">，提供承诺函。</w:t>
            </w:r>
            <w:r/>
          </w:p>
          <w:p>
            <w:pPr>
              <w:spacing w:line="360" w:lineRule="auto"/>
              <w:rPr>
                <w:rFonts w:hint="eastAsia" w:ascii="宋体" w:hAnsi="宋体" w:eastAsia="宋体" w:cs="仿宋"/>
                <w:sz w:val="24"/>
                <w:szCs w:val="24"/>
              </w:rPr>
            </w:pPr>
            <w:r>
              <w:rPr>
                <w:rFonts w:hint="eastAsia" w:ascii="宋体" w:hAnsi="宋体" w:eastAsia="宋体" w:cs="仿宋"/>
                <w:bCs/>
                <w:iCs/>
                <w:sz w:val="24"/>
                <w:szCs w:val="24"/>
              </w:rPr>
              <w:t xml:space="preserve">★11、备用机责任：若现场故障在24小时内无法彻底排除修好，中标供应商必须在第24小时前向医院免费提供一套同等档次及技术参数的关节镜系统作为替代备用机，直至原机完全修好，确保医院手术不中断（要求提供承诺书，加盖生产厂家及供应商公章）。</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w:t>
            </w:r>
            <w:r>
              <w:rPr>
                <w:rFonts w:hint="eastAsia" w:ascii="宋体" w:hAnsi="宋体" w:eastAsia="宋体" w:cs="仿宋"/>
                <w:sz w:val="24"/>
                <w:szCs w:val="24"/>
              </w:rPr>
              <w:t xml:space="preserve">但不限于对外赔偿费用、诉讼费、律师费、差旅费等。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w:t>
            </w:r>
            <w:r>
              <w:rPr>
                <w:rFonts w:hint="eastAsia" w:ascii="宋体" w:hAnsi="宋体" w:eastAsia="宋体" w:cs="仿宋"/>
                <w:sz w:val="24"/>
                <w:szCs w:val="24"/>
              </w:rPr>
              <w:t xml:space="preserve">货处理。供应商拒绝更换设备的，院方可单方面解除项目，供应商应向院方支付货款总值5%的违约金，如造成院方损失超过违约金的，超出部分由供应商继续承担赔偿责任。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3.不可抗力事件延续120天以上，双方应通过友好协商，确定是否继续履行合同。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(八)其他</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rPr>
              <w:t xml:space="preserve">生产期限不超过设备到货日期前半年。</w:t>
            </w:r>
            <w:r/>
          </w:p>
        </w:tc>
      </w:tr>
    </w:tbl>
    <w:p>
      <w:pPr>
        <w:pStyle w:val="82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0"/>
        <w:numPr>
          <w:ilvl w:val="0"/>
          <w:numId w:val="5"/>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4"/>
      <w:r/>
      <w:bookmarkEnd w:id="45"/>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（2）投标人需按照采购文件的要求提供相应的《中小企业声明函》。</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以上时（投标人需在“第六章 投标文件格式”的“附件2 投标分项报价表”中填写比例数值），依法对该投标人提供的全部产品给予价格评审优惠，即对该投标人提供的全部产品的总报价给予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的价格扣除，用扣除后的价格参与评审。投标人未填写比例数值，或比例数值未达到80%的，将不享受本国产品价格评审优惠。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投标人需按照招标文件的要求提供《关于符合本国产品标准的声明函》（以下简称《声明函》），如不提供将不享受本国产品价格评审优惠。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8" w:name="_Hlk147842034"/>
      <w:r>
        <w:rPr>
          <w:rFonts w:cs="仿宋" w:asciiTheme="minorEastAsia" w:hAnsiTheme="minorEastAsia" w:eastAsiaTheme="minorEastAsia"/>
          <w:b/>
          <w:color w:val="000000" w:themeColor="text1"/>
          <w:sz w:val="24"/>
          <w:szCs w:val="24"/>
        </w:rPr>
        <w:br w:type="page" w:clear="all"/>
      </w:r>
      <w:r/>
    </w:p>
    <w:p>
      <w:pPr>
        <w:pStyle w:val="854"/>
        <w:numPr>
          <w:ilvl w:val="0"/>
          <w:numId w:val="6"/>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54"/>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第一包：</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按满足招标文件要求且报价最低的投标报价为评标基准价，其价格分为满分30分，其他供应商的价格分统一按照以下公式计算，保留小数点后2位：投标报价得分=（评标基准价/该供应商的投标报价）×30%×100。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699"/>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1.全部满足标书基本要求得</w:t>
            </w:r>
            <w:r>
              <w:rPr>
                <w:rFonts w:ascii="宋体" w:hAnsi="宋体" w:eastAsia="宋体" w:cs="仿宋"/>
                <w:sz w:val="24"/>
                <w:szCs w:val="24"/>
              </w:rPr>
              <w:t xml:space="preserve">42</w:t>
            </w:r>
            <w:r>
              <w:rPr>
                <w:rFonts w:hint="eastAsia" w:ascii="宋体" w:hAnsi="宋体" w:eastAsia="宋体" w:cs="仿宋"/>
                <w:sz w:val="24"/>
                <w:szCs w:val="24"/>
              </w:rPr>
              <w:t xml:space="preserve">分，正偏离不加分，★号指标为核心技术指标，有一项★号指标负偏离做废标处理；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 ▲号指标为关键技术指标，有一项▲号指标负偏离扣</w:t>
            </w:r>
            <w:r>
              <w:rPr>
                <w:rFonts w:ascii="宋体" w:hAnsi="宋体" w:eastAsia="宋体" w:cs="仿宋"/>
                <w:sz w:val="24"/>
                <w:szCs w:val="24"/>
              </w:rPr>
              <w:t xml:space="preserve">3</w:t>
            </w:r>
            <w:r>
              <w:rPr>
                <w:rFonts w:hint="eastAsia" w:ascii="宋体" w:hAnsi="宋体" w:eastAsia="宋体" w:cs="仿宋"/>
                <w:sz w:val="24"/>
                <w:szCs w:val="24"/>
              </w:rPr>
              <w:t xml:space="preserve">分；（共</w:t>
            </w:r>
            <w:r>
              <w:rPr>
                <w:rFonts w:ascii="宋体" w:hAnsi="宋体" w:eastAsia="宋体" w:cs="仿宋"/>
                <w:sz w:val="24"/>
                <w:szCs w:val="24"/>
              </w:rPr>
              <w:t xml:space="preserve">12</w:t>
            </w:r>
            <w:r>
              <w:rPr>
                <w:rFonts w:hint="eastAsia" w:ascii="宋体" w:hAnsi="宋体" w:eastAsia="宋体" w:cs="仿宋"/>
                <w:sz w:val="24"/>
                <w:szCs w:val="24"/>
              </w:rPr>
              <w:t xml:space="preserve">项，超过半数及以上负偏离，视为无法实质性响应招标文件要求，做无效投标处理）（★号、▲号指标均须提供相关证明材料（包括制造商盖章的技术白皮书、Data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3.未标注★、▲号指标为一般技术指标，每负偏离一项扣0.</w:t>
            </w:r>
            <w:r>
              <w:rPr>
                <w:rFonts w:ascii="宋体" w:hAnsi="宋体" w:eastAsia="宋体" w:cs="仿宋"/>
                <w:sz w:val="24"/>
                <w:szCs w:val="24"/>
              </w:rPr>
              <w:t xml:space="preserve">16</w:t>
            </w:r>
            <w:r>
              <w:rPr>
                <w:rFonts w:hint="eastAsia" w:ascii="宋体" w:hAnsi="宋体" w:eastAsia="宋体" w:cs="仿宋"/>
                <w:sz w:val="24"/>
                <w:szCs w:val="24"/>
              </w:rPr>
              <w:t xml:space="preserve">分，扣完为止。一般技术指标超过1</w:t>
            </w:r>
            <w:r>
              <w:rPr>
                <w:rFonts w:ascii="宋体" w:hAnsi="宋体" w:eastAsia="宋体" w:cs="仿宋"/>
                <w:sz w:val="24"/>
                <w:szCs w:val="24"/>
              </w:rPr>
              <w:t xml:space="preserve">/3</w:t>
            </w:r>
            <w:r>
              <w:rPr>
                <w:rFonts w:hint="eastAsia" w:ascii="宋体" w:hAnsi="宋体" w:eastAsia="宋体" w:cs="仿宋"/>
                <w:sz w:val="24"/>
                <w:szCs w:val="24"/>
              </w:rPr>
              <w:t xml:space="preserve">以上负偏离的，视为无法实质性响应招标文件要求，做无效投标处理（共</w:t>
            </w:r>
            <w:r>
              <w:rPr>
                <w:rFonts w:ascii="宋体" w:hAnsi="宋体" w:eastAsia="宋体" w:cs="仿宋"/>
                <w:sz w:val="24"/>
                <w:szCs w:val="24"/>
              </w:rPr>
              <w:t xml:space="preserve">37</w:t>
            </w:r>
            <w:r>
              <w:rPr>
                <w:rFonts w:hint="eastAsia" w:ascii="宋体" w:hAnsi="宋体" w:eastAsia="宋体" w:cs="仿宋"/>
                <w:sz w:val="24"/>
                <w:szCs w:val="24"/>
              </w:rPr>
              <w:t xml:space="preserve">项）</w:t>
            </w:r>
            <w:r/>
          </w:p>
          <w:p>
            <w:pPr>
              <w:spacing w:line="360" w:lineRule="auto"/>
              <w:rPr>
                <w:highlight w:val="yellow"/>
              </w:rPr>
            </w:pPr>
            <w:r>
              <w:rPr>
                <w:rFonts w:hint="eastAsia" w:ascii="宋体" w:hAnsi="宋体" w:eastAsia="宋体" w:cs="仿宋"/>
                <w:sz w:val="24"/>
                <w:szCs w:val="24"/>
              </w:rPr>
              <w:t xml:space="preserve">4.产品交付验收时，招标人将对技术规格要求中的★号、▲号指标进行逐一核实验收，如发现虚假应</w:t>
            </w:r>
            <w:r>
              <w:rPr>
                <w:rFonts w:hint="eastAsia" w:ascii="宋体" w:hAnsi="宋体" w:eastAsia="宋体" w:cs="仿宋"/>
                <w:sz w:val="24"/>
                <w:szCs w:val="24"/>
              </w:rPr>
              <w:t xml:space="preserve">标，或无法实现关键技术指标功能，有权向采购主管部门进行举报，由中标人承担一切法律责任。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投标人提供对用户的操作培训、业务功能培训等相关培训计划方案，除正常操作培训外，针对甲方的特点，提出其他技术培训保障方案：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w:t>
            </w:r>
            <w:r>
              <w:rPr>
                <w:rFonts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w:t>
            </w:r>
            <w:r>
              <w:rPr>
                <w:rFonts w:hint="eastAsia" w:ascii="宋体" w:hAnsi="宋体" w:eastAsia="宋体" w:cs="仿宋"/>
                <w:sz w:val="24"/>
                <w:szCs w:val="24"/>
              </w:rPr>
              <w:t xml:space="preserve">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4分</w:t>
            </w:r>
            <w:r/>
          </w:p>
        </w:tc>
      </w:tr>
    </w:tbl>
    <w:p>
      <w:pPr>
        <w:pStyle w:val="854"/>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pStyle w:val="854"/>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第二包：</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按满足招标文件要求且报价最低的投标报价为评标基准价，其价格分为满分30分，其他供应商的价格分统一按照以下公式计算，保留小数点后2位：投标报价得分=（评标基准价/该供应商的投标报价）×30%×100。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699"/>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1.全部满足标书基本要求得</w:t>
            </w:r>
            <w:r>
              <w:rPr>
                <w:rFonts w:ascii="宋体" w:hAnsi="宋体" w:eastAsia="宋体" w:cs="仿宋"/>
                <w:sz w:val="24"/>
                <w:szCs w:val="24"/>
              </w:rPr>
              <w:t xml:space="preserve">42</w:t>
            </w:r>
            <w:r>
              <w:rPr>
                <w:rFonts w:hint="eastAsia" w:ascii="宋体" w:hAnsi="宋体" w:eastAsia="宋体" w:cs="仿宋"/>
                <w:sz w:val="24"/>
                <w:szCs w:val="24"/>
              </w:rPr>
              <w:t xml:space="preserve">分，正偏离不加分，★号指标为核心</w:t>
            </w:r>
            <w:r>
              <w:rPr>
                <w:rFonts w:hint="eastAsia" w:ascii="宋体" w:hAnsi="宋体" w:eastAsia="宋体" w:cs="仿宋"/>
                <w:sz w:val="24"/>
                <w:szCs w:val="24"/>
              </w:rPr>
              <w:t xml:space="preserve">技术指标，有一项★号指标负偏离做废标处理；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 ▲号指标为关键技术指标，有一项▲号指标负偏离扣</w:t>
            </w:r>
            <w:r>
              <w:rPr>
                <w:rFonts w:ascii="宋体" w:hAnsi="宋体" w:eastAsia="宋体" w:cs="仿宋"/>
                <w:sz w:val="24"/>
                <w:szCs w:val="24"/>
              </w:rPr>
              <w:t xml:space="preserve">3</w:t>
            </w:r>
            <w:r>
              <w:rPr>
                <w:rFonts w:hint="eastAsia" w:ascii="宋体" w:hAnsi="宋体" w:eastAsia="宋体" w:cs="仿宋"/>
                <w:sz w:val="24"/>
                <w:szCs w:val="24"/>
              </w:rPr>
              <w:t xml:space="preserve">分；（共</w:t>
            </w:r>
            <w:r>
              <w:rPr>
                <w:rFonts w:ascii="宋体" w:hAnsi="宋体" w:eastAsia="宋体" w:cs="仿宋"/>
                <w:sz w:val="24"/>
                <w:szCs w:val="24"/>
              </w:rPr>
              <w:t xml:space="preserve">6</w:t>
            </w:r>
            <w:r>
              <w:rPr>
                <w:rFonts w:hint="eastAsia" w:ascii="宋体" w:hAnsi="宋体" w:eastAsia="宋体" w:cs="仿宋"/>
                <w:sz w:val="24"/>
                <w:szCs w:val="24"/>
              </w:rPr>
              <w:t xml:space="preserve">项，超过半数及以上负偏离，视为无法实质性响应招标文件要求，做无效投标处理）（★号、▲号指标均须提供相关证明材料（包括制造商盖章的技术白皮书、Data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3.未标注★、▲号指标为一般技术指标，每负偏离一项扣</w:t>
            </w:r>
            <w:r>
              <w:rPr>
                <w:rFonts w:ascii="宋体" w:hAnsi="宋体" w:eastAsia="宋体" w:cs="仿宋"/>
                <w:sz w:val="24"/>
                <w:szCs w:val="24"/>
              </w:rPr>
              <w:t xml:space="preserve">0.69</w:t>
            </w:r>
            <w:r>
              <w:rPr>
                <w:rFonts w:hint="eastAsia" w:ascii="宋体" w:hAnsi="宋体" w:eastAsia="宋体" w:cs="仿宋"/>
                <w:sz w:val="24"/>
                <w:szCs w:val="24"/>
              </w:rPr>
              <w:t xml:space="preserve">分，扣完为止。一般技术指标超过1</w:t>
            </w:r>
            <w:r>
              <w:rPr>
                <w:rFonts w:ascii="宋体" w:hAnsi="宋体" w:eastAsia="宋体" w:cs="仿宋"/>
                <w:sz w:val="24"/>
                <w:szCs w:val="24"/>
              </w:rPr>
              <w:t xml:space="preserve">/3</w:t>
            </w:r>
            <w:r>
              <w:rPr>
                <w:rFonts w:hint="eastAsia" w:ascii="宋体" w:hAnsi="宋体" w:eastAsia="宋体" w:cs="仿宋"/>
                <w:sz w:val="24"/>
                <w:szCs w:val="24"/>
              </w:rPr>
              <w:t xml:space="preserve">以上负偏离的，视为无法实质性响应招标文件要求，做无效投标处理（共</w:t>
            </w:r>
            <w:r>
              <w:rPr>
                <w:rFonts w:ascii="宋体" w:hAnsi="宋体" w:eastAsia="宋体" w:cs="仿宋"/>
                <w:sz w:val="24"/>
                <w:szCs w:val="24"/>
              </w:rPr>
              <w:t xml:space="preserve">35</w:t>
            </w:r>
            <w:r>
              <w:rPr>
                <w:rFonts w:hint="eastAsia" w:ascii="宋体" w:hAnsi="宋体" w:eastAsia="宋体" w:cs="仿宋"/>
                <w:sz w:val="24"/>
                <w:szCs w:val="24"/>
              </w:rPr>
              <w:t xml:space="preserve">项）</w:t>
            </w:r>
            <w:r/>
          </w:p>
          <w:p>
            <w:pPr>
              <w:spacing w:line="360" w:lineRule="auto"/>
              <w:rPr>
                <w:highlight w:val="yellow"/>
              </w:rPr>
            </w:pPr>
            <w:r>
              <w:rPr>
                <w:rFonts w:hint="eastAsia" w:ascii="宋体" w:hAnsi="宋体" w:eastAsia="宋体" w:cs="仿宋"/>
                <w:sz w:val="24"/>
                <w:szCs w:val="24"/>
              </w:rPr>
              <w:t xml:space="preserve">4.产品交付验收时，招标人将对技术规格要求中的★号、▲号指标进行逐一核实验收，如发现虚假应标，或无法实现关键技术指标功能，有权向采购主</w:t>
            </w:r>
            <w:r>
              <w:rPr>
                <w:rFonts w:hint="eastAsia" w:ascii="宋体" w:hAnsi="宋体" w:eastAsia="宋体" w:cs="仿宋"/>
                <w:sz w:val="24"/>
                <w:szCs w:val="24"/>
              </w:rPr>
              <w:t xml:space="preserve">管部门进行举报，由中标人承担一切法律责任。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投标人提供对用户的操作培训、业务功能培训等相关培训计划方案，除正常操作培训外，针对甲方的特点，提出其他技术培训保障方案：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w:t>
            </w:r>
            <w:r>
              <w:rPr>
                <w:rFonts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4分</w:t>
            </w:r>
            <w:r/>
          </w:p>
        </w:tc>
      </w:tr>
    </w:tbl>
    <w:p>
      <w:pPr>
        <w:pStyle w:val="854"/>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8"/>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54"/>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4"/>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9" w:name="_Hlt26955039"/>
      <w:r/>
      <w:bookmarkStart w:id="50" w:name="_Hlt26671244"/>
      <w:r/>
      <w:bookmarkStart w:id="51" w:name="_Toc49090576"/>
      <w:r/>
      <w:bookmarkStart w:id="52" w:name="_Toc26554094"/>
      <w:r/>
      <w:bookmarkStart w:id="53" w:name="_Toc120614282"/>
      <w:r/>
      <w:bookmarkEnd w:id="49"/>
      <w:r/>
      <w:bookmarkEnd w:id="50"/>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4"/>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4"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4"/>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5" w:name="_Toc120614284"/>
      <w:r/>
      <w:bookmarkEnd w:id="51"/>
      <w:r/>
      <w:bookmarkEnd w:id="52"/>
      <w:r/>
      <w:bookmarkEnd w:id="53"/>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24"/>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6" w:name="_格式3__银行出具的资信证明"/>
      <w:r/>
      <w:bookmarkStart w:id="57" w:name="_Hlt26955070"/>
      <w:r/>
      <w:bookmarkStart w:id="58" w:name="_Hlt26671380"/>
      <w:r/>
      <w:bookmarkEnd w:id="56"/>
      <w:r/>
      <w:bookmarkEnd w:id="57"/>
      <w:r/>
      <w:bookmarkEnd w:id="58"/>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24"/>
        <w:spacing w:line="360" w:lineRule="auto"/>
      </w:pPr>
      <w:r/>
      <w:r/>
    </w:p>
    <w:p>
      <w:pPr>
        <w:pStyle w:val="824"/>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2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24"/>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46"/>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5"/>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45"/>
        <w:jc w:val="left"/>
        <w:spacing w:line="360" w:lineRule="auto"/>
        <w:rPr>
          <w:rFonts w:hint="eastAsia" w:ascii="宋体" w:hAnsi="宋体"/>
          <w:b/>
          <w:sz w:val="32"/>
          <w:szCs w:val="32"/>
        </w:rPr>
      </w:pPr>
      <w:r>
        <w:rPr>
          <w:rFonts w:hint="eastAsia" w:ascii="宋体" w:hAnsi="宋体"/>
          <w:b/>
          <w:sz w:val="32"/>
          <w:szCs w:val="32"/>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rPr>
      </w:pPr>
      <w:r>
        <w:rPr>
          <w:rFonts w:ascii="宋体" w:hAnsi="宋体"/>
          <w:sz w:val="24"/>
          <w:szCs w:val="24"/>
        </w:rPr>
        <w:t xml:space="preserve">……</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5"/>
        <w:ind w:firstLine="480"/>
        <w:jc w:val="center"/>
        <w:spacing w:line="360" w:lineRule="auto"/>
        <w:rPr>
          <w:rFonts w:hint="eastAsia" w:ascii="宋体" w:hAnsi="宋体"/>
          <w:sz w:val="24"/>
          <w:szCs w:val="24"/>
        </w:rPr>
      </w:pPr>
      <w:r>
        <w:rPr>
          <w:rFonts w:hint="eastAsia" w:ascii="宋体" w:hAnsi="宋体"/>
          <w:sz w:val="24"/>
          <w:szCs w:val="24"/>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5"/>
        <w:ind w:firstLine="560"/>
        <w:spacing w:line="360" w:lineRule="auto"/>
        <w:rPr>
          <w:rFonts w:hint="eastAsia" w:ascii="宋体" w:hAnsi="宋体"/>
          <w:sz w:val="28"/>
          <w:szCs w:val="28"/>
        </w:rPr>
      </w:pPr>
      <w:r>
        <w:rPr>
          <w:rFonts w:hint="eastAsia" w:ascii="宋体" w:hAnsi="宋体"/>
          <w:sz w:val="28"/>
          <w:szCs w:val="28"/>
        </w:rPr>
      </w:r>
      <w:r/>
    </w:p>
    <w:p>
      <w:pPr>
        <w:pStyle w:val="104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5"/>
        <w:jc w:val="center"/>
        <w:spacing w:line="360" w:lineRule="auto"/>
        <w:rPr>
          <w:rFonts w:hint="eastAsia" w:ascii="宋体" w:hAnsi="宋体"/>
          <w:b/>
          <w:sz w:val="36"/>
          <w:szCs w:val="36"/>
        </w:rPr>
      </w:pPr>
      <w:r>
        <w:rPr>
          <w:rFonts w:hint="eastAsia" w:ascii="宋体" w:hAnsi="宋体"/>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5"/>
        <w:jc w:val="center"/>
        <w:spacing w:line="360" w:lineRule="auto"/>
        <w:rPr>
          <w:rFonts w:hint="eastAsia" w:ascii="宋体" w:hAnsi="宋体"/>
          <w:b/>
          <w:sz w:val="36"/>
          <w:szCs w:val="36"/>
        </w:rPr>
      </w:pPr>
      <w:r>
        <w:rPr>
          <w:rFonts w:hint="eastAsia" w:ascii="宋体" w:hAnsi="宋体"/>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5"/>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45"/>
        <w:jc w:val="left"/>
        <w:spacing w:line="360" w:lineRule="auto"/>
        <w:rPr>
          <w:rFonts w:hint="eastAsia" w:ascii="宋体" w:hAnsi="宋体"/>
          <w:b/>
          <w:sz w:val="32"/>
          <w:szCs w:val="32"/>
        </w:rPr>
      </w:pPr>
      <w:r>
        <w:rPr>
          <w:rFonts w:hint="eastAsia" w:ascii="宋体" w:hAnsi="宋体"/>
          <w:b/>
          <w:sz w:val="32"/>
          <w:szCs w:val="32"/>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rPr>
      </w:pPr>
      <w:r>
        <w:rPr>
          <w:rFonts w:ascii="宋体" w:hAnsi="宋体"/>
          <w:sz w:val="24"/>
          <w:szCs w:val="24"/>
        </w:rPr>
        <w:t xml:space="preserve">……</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5"/>
        <w:ind w:firstLine="480"/>
        <w:jc w:val="center"/>
        <w:spacing w:line="360" w:lineRule="auto"/>
        <w:rPr>
          <w:rFonts w:hint="eastAsia" w:ascii="宋体" w:hAnsi="宋体"/>
          <w:sz w:val="24"/>
          <w:szCs w:val="24"/>
        </w:rPr>
      </w:pPr>
      <w:r>
        <w:rPr>
          <w:rFonts w:hint="eastAsia" w:ascii="宋体" w:hAnsi="宋体"/>
          <w:sz w:val="24"/>
          <w:szCs w:val="24"/>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5"/>
        <w:ind w:firstLine="480"/>
        <w:spacing w:line="360" w:lineRule="auto"/>
        <w:rPr>
          <w:rFonts w:hint="eastAsia" w:ascii="宋体" w:hAnsi="宋体"/>
          <w:sz w:val="24"/>
          <w:szCs w:val="24"/>
        </w:rPr>
      </w:pPr>
      <w:r>
        <w:rPr>
          <w:rFonts w:hint="eastAsia" w:ascii="宋体" w:hAnsi="宋体"/>
          <w:sz w:val="24"/>
          <w:szCs w:val="24"/>
        </w:rPr>
      </w:r>
      <w:r/>
    </w:p>
    <w:p>
      <w:pPr>
        <w:pStyle w:val="104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5"/>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45"/>
        <w:spacing w:before="151" w:after="151" w:line="360" w:lineRule="auto"/>
        <w:rPr>
          <w:rFonts w:hint="eastAsia" w:ascii="宋体" w:hAnsi="宋体"/>
          <w:b/>
          <w:bCs/>
          <w:sz w:val="32"/>
          <w:szCs w:val="32"/>
        </w:rPr>
      </w:pPr>
      <w:r>
        <w:rPr>
          <w:rFonts w:hint="eastAsia" w:ascii="宋体" w:hAnsi="宋体"/>
          <w:b/>
          <w:bCs/>
          <w:sz w:val="32"/>
          <w:szCs w:val="32"/>
        </w:rPr>
      </w:r>
      <w:r/>
    </w:p>
    <w:p>
      <w:pPr>
        <w:pStyle w:val="1045"/>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7"/>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48"/>
        <w:spacing w:line="360" w:lineRule="auto"/>
        <w:rPr>
          <w:rFonts w:hint="eastAsia" w:ascii="宋体" w:hAnsi="宋体"/>
          <w:b/>
          <w:spacing w:val="6"/>
          <w:sz w:val="30"/>
          <w:szCs w:val="30"/>
        </w:rPr>
      </w:pPr>
      <w:r>
        <w:rPr>
          <w:rFonts w:hint="eastAsia" w:ascii="宋体" w:hAnsi="宋体"/>
          <w:b/>
          <w:spacing w:val="6"/>
          <w:sz w:val="30"/>
          <w:szCs w:val="30"/>
        </w:rPr>
      </w:r>
      <w:r/>
    </w:p>
    <w:p>
      <w:pPr>
        <w:pStyle w:val="1047"/>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9"/>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49"/>
        <w:ind w:firstLine="3629"/>
        <w:jc w:val="left"/>
        <w:spacing w:line="360" w:lineRule="auto"/>
        <w:rPr>
          <w:rFonts w:hint="eastAsia" w:ascii="宋体" w:hAnsi="宋体"/>
          <w:sz w:val="24"/>
        </w:rPr>
      </w:pPr>
      <w:r>
        <w:rPr>
          <w:rFonts w:hint="eastAsia" w:ascii="宋体" w:hAnsi="宋体"/>
          <w:sz w:val="24"/>
        </w:rPr>
      </w:r>
      <w:r/>
    </w:p>
    <w:p>
      <w:pPr>
        <w:pStyle w:val="1049"/>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45"/>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48"/>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0"/>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47"/>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57"/>
          <w:rFonts w:hint="eastAsia" w:ascii="方正魏碑_GBK" w:hAnsi="方正魏碑_GBK" w:eastAsia="方正魏碑_GBK" w:cs="方正魏碑_GBK"/>
          <w:i w:val="0"/>
          <w:color w:val="ff0000"/>
          <w:u w:val="single"/>
          <w:shd w:val="clear" w:color="auto" w:fill="ffffff"/>
        </w:rPr>
        <w:t xml:space="preserve">（产品名称1）</w:t>
      </w:r>
      <w:r>
        <w:rPr>
          <w:rStyle w:val="857"/>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57"/>
          <w:rFonts w:hint="eastAsia" w:ascii="方正魏碑_GBK" w:hAnsi="方正魏碑_GBK" w:eastAsia="方正魏碑_GBK" w:cs="方正魏碑_GBK"/>
          <w:i w:val="0"/>
          <w:color w:val="ff0000"/>
          <w:u w:val="single"/>
          <w:shd w:val="clear" w:color="auto" w:fill="ffffff"/>
        </w:rPr>
        <w:t xml:space="preserve">（厂名）</w:t>
      </w:r>
      <w:r>
        <w:rPr>
          <w:rStyle w:val="857"/>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5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57"/>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57"/>
          <w:rFonts w:hint="eastAsia" w:ascii="方正魏碑_GBK" w:hAnsi="方正魏碑_GBK" w:eastAsia="方正魏碑_GBK" w:cs="方正魏碑_GBK"/>
          <w:i w:val="0"/>
          <w:color w:val="ff0000"/>
          <w:u w:val="single"/>
          <w:shd w:val="clear" w:color="auto" w:fill="ffffff"/>
        </w:rPr>
        <w:t xml:space="preserve">（规定</w:t>
      </w:r>
      <w:r>
        <w:rPr>
          <w:rStyle w:val="857"/>
          <w:rFonts w:ascii="方正魏碑_GBK" w:hAnsi="方正魏碑_GBK" w:eastAsia="方正魏碑_GBK" w:cs="方正魏碑_GBK"/>
          <w:i w:val="0"/>
          <w:color w:val="ff0000"/>
          <w:u w:val="single"/>
          <w:shd w:val="clear" w:color="auto" w:fill="ffffff"/>
        </w:rPr>
        <w:t xml:space="preserve">比例</w:t>
      </w:r>
      <w:r>
        <w:rPr>
          <w:rStyle w:val="857"/>
          <w:rFonts w:hint="eastAsia" w:ascii="方正魏碑_GBK" w:hAnsi="方正魏碑_GBK" w:eastAsia="方正魏碑_GBK" w:cs="方正魏碑_GBK"/>
          <w:i w:val="0"/>
          <w:color w:val="ff0000"/>
          <w:u w:val="single"/>
          <w:shd w:val="clear" w:color="auto" w:fill="ffffff"/>
        </w:rPr>
        <w:t xml:space="preserve">）</w:t>
      </w:r>
      <w:r>
        <w:rPr>
          <w:rStyle w:val="857"/>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w:t>
      </w:r>
      <w:r>
        <w:rPr>
          <w:rStyle w:val="857"/>
          <w:rFonts w:ascii="方正魏碑_GBK" w:hAnsi="方正魏碑_GBK" w:eastAsia="方正魏碑_GBK" w:cs="方正魏碑_GBK"/>
          <w:i w:val="0"/>
          <w:color w:val="ff0000"/>
          <w:u w:val="single"/>
          <w:shd w:val="clear" w:color="auto" w:fill="ffffff"/>
        </w:rPr>
        <w:t xml:space="preserve">组件</w:t>
      </w:r>
      <w:r>
        <w:rPr>
          <w:rStyle w:val="857"/>
          <w:rFonts w:hint="eastAsia" w:ascii="方正魏碑_GBK" w:hAnsi="方正魏碑_GBK" w:eastAsia="方正魏碑_GBK" w:cs="方正魏碑_GBK"/>
          <w:i w:val="0"/>
          <w:color w:val="ff0000"/>
          <w:u w:val="single"/>
          <w:shd w:val="clear" w:color="auto" w:fill="ffffff"/>
        </w:rPr>
        <w:t xml:space="preserve">）</w:t>
      </w:r>
      <w:r>
        <w:rPr>
          <w:rStyle w:val="857"/>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（关键工序）</w:t>
      </w:r>
      <w:r>
        <w:rPr>
          <w:rStyle w:val="857"/>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57"/>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5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57"/>
          <w:rFonts w:hint="eastAsia" w:ascii="方正魏碑_GBK" w:hAnsi="方正魏碑_GBK" w:eastAsia="方正魏碑_GBK" w:cs="方正魏碑_GBK"/>
          <w:i w:val="0"/>
          <w:color w:val="ff0000"/>
          <w:u w:val="single"/>
          <w:shd w:val="clear" w:color="auto" w:fill="ffffff"/>
        </w:rPr>
        <w:t xml:space="preserve">（规定</w:t>
      </w:r>
      <w:r>
        <w:rPr>
          <w:rStyle w:val="857"/>
          <w:rFonts w:ascii="方正魏碑_GBK" w:hAnsi="方正魏碑_GBK" w:eastAsia="方正魏碑_GBK" w:cs="方正魏碑_GBK"/>
          <w:i w:val="0"/>
          <w:color w:val="ff0000"/>
          <w:u w:val="single"/>
          <w:shd w:val="clear" w:color="auto" w:fill="ffffff"/>
        </w:rPr>
        <w:t xml:space="preserve">比例</w:t>
      </w:r>
      <w:r>
        <w:rPr>
          <w:rStyle w:val="85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w:t>
      </w:r>
      <w:r>
        <w:rPr>
          <w:rStyle w:val="857"/>
          <w:rFonts w:ascii="方正魏碑_GBK" w:hAnsi="方正魏碑_GBK" w:eastAsia="方正魏碑_GBK" w:cs="方正魏碑_GBK"/>
          <w:i w:val="0"/>
          <w:color w:val="ff0000"/>
          <w:u w:val="single"/>
          <w:shd w:val="clear" w:color="auto" w:fill="ffffff"/>
        </w:rPr>
        <w:t xml:space="preserve">组件</w:t>
      </w:r>
      <w:r>
        <w:rPr>
          <w:rStyle w:val="85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47"/>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r/>
      <w:r/>
    </w:p>
    <w:p>
      <w:pPr>
        <w:pStyle w:val="824"/>
        <w:spacing w:line="360" w:lineRule="auto"/>
      </w:pPr>
      <w:r/>
      <w:r/>
    </w:p>
    <w:p>
      <w:pPr>
        <w:spacing w:line="360" w:lineRule="auto"/>
      </w:pPr>
      <w:r/>
      <w:r/>
    </w:p>
    <w:p>
      <w:pPr>
        <w:pStyle w:val="824"/>
        <w:spacing w:line="360" w:lineRule="auto"/>
      </w:pPr>
      <w:r/>
      <w:r/>
    </w:p>
    <w:p>
      <w:pPr>
        <w:pStyle w:val="824"/>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注：如投标人中标，项目组成员必须按本表承诺人员操作，不得随意更换。按投标文件要求附相关人员证书。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9" w:name="_Toc11176"/>
      <w:r>
        <w:rPr>
          <w:rFonts w:hint="eastAsia" w:eastAsia="黑体" w:cs="黑体"/>
          <w:b/>
          <w:sz w:val="32"/>
          <w:szCs w:val="24"/>
        </w:rPr>
        <w:t xml:space="preserve">十、</w:t>
      </w:r>
      <w:bookmarkEnd w:id="59"/>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60" w:name="_Toc28140"/>
      <w:r>
        <w:rPr>
          <w:rFonts w:hint="eastAsia" w:eastAsia="黑体" w:cs="黑体"/>
          <w:b/>
          <w:sz w:val="32"/>
          <w:szCs w:val="24"/>
        </w:rPr>
        <w:t xml:space="preserve">十一</w:t>
      </w:r>
      <w:r>
        <w:rPr>
          <w:rFonts w:eastAsia="黑体" w:cs="黑体"/>
          <w:b/>
          <w:sz w:val="32"/>
          <w:szCs w:val="24"/>
        </w:rPr>
        <w:t xml:space="preserve">、投标所需其他材料</w:t>
      </w:r>
      <w:bookmarkEnd w:id="60"/>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5"/>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1" w:name="_Hlt26955066"/>
      <w:r/>
      <w:bookmarkStart w:id="62" w:name="_Hlt26671374"/>
      <w:r/>
      <w:bookmarkStart w:id="63" w:name="_Hlt26609389"/>
      <w:r/>
      <w:bookmarkStart w:id="64" w:name="_Toc462564146"/>
      <w:r/>
      <w:bookmarkEnd w:id="61"/>
      <w:r/>
      <w:bookmarkEnd w:id="62"/>
      <w:r/>
      <w:bookmarkEnd w:id="63"/>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5" w:name="_格式2__法定代表人授权书"/>
      <w:r/>
      <w:bookmarkEnd w:id="64"/>
      <w:r/>
      <w:bookmarkEnd w:id="65"/>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17"/>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17"/>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7"/>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1"/>
    <w:link w:val="812"/>
    <w:uiPriority w:val="9"/>
    <w:rPr>
      <w:rFonts w:ascii="Arial" w:hAnsi="Arial" w:eastAsia="Arial" w:cs="Arial"/>
      <w:sz w:val="40"/>
      <w:szCs w:val="40"/>
    </w:rPr>
  </w:style>
  <w:style w:type="character" w:styleId="776">
    <w:name w:val="Heading 2 Char"/>
    <w:basedOn w:val="821"/>
    <w:link w:val="813"/>
    <w:uiPriority w:val="9"/>
    <w:rPr>
      <w:rFonts w:ascii="Arial" w:hAnsi="Arial" w:eastAsia="Arial" w:cs="Arial"/>
      <w:sz w:val="34"/>
    </w:rPr>
  </w:style>
  <w:style w:type="character" w:styleId="777">
    <w:name w:val="Heading 3 Char"/>
    <w:basedOn w:val="821"/>
    <w:link w:val="814"/>
    <w:uiPriority w:val="9"/>
    <w:rPr>
      <w:rFonts w:ascii="Arial" w:hAnsi="Arial" w:eastAsia="Arial" w:cs="Arial"/>
      <w:sz w:val="30"/>
      <w:szCs w:val="30"/>
    </w:rPr>
  </w:style>
  <w:style w:type="character" w:styleId="778">
    <w:name w:val="Heading 4 Char"/>
    <w:basedOn w:val="821"/>
    <w:link w:val="815"/>
    <w:uiPriority w:val="9"/>
    <w:rPr>
      <w:rFonts w:ascii="Arial" w:hAnsi="Arial" w:eastAsia="Arial" w:cs="Arial"/>
      <w:b/>
      <w:bCs/>
      <w:sz w:val="26"/>
      <w:szCs w:val="26"/>
    </w:rPr>
  </w:style>
  <w:style w:type="character" w:styleId="779">
    <w:name w:val="Heading 5 Char"/>
    <w:basedOn w:val="821"/>
    <w:link w:val="816"/>
    <w:uiPriority w:val="9"/>
    <w:rPr>
      <w:rFonts w:ascii="Arial" w:hAnsi="Arial" w:eastAsia="Arial" w:cs="Arial"/>
      <w:b/>
      <w:bCs/>
      <w:sz w:val="24"/>
      <w:szCs w:val="24"/>
    </w:rPr>
  </w:style>
  <w:style w:type="character" w:styleId="780">
    <w:name w:val="Heading 6 Char"/>
    <w:basedOn w:val="821"/>
    <w:link w:val="817"/>
    <w:uiPriority w:val="9"/>
    <w:rPr>
      <w:rFonts w:ascii="Arial" w:hAnsi="Arial" w:eastAsia="Arial" w:cs="Arial"/>
      <w:b/>
      <w:bCs/>
      <w:sz w:val="22"/>
      <w:szCs w:val="22"/>
    </w:rPr>
  </w:style>
  <w:style w:type="character" w:styleId="781">
    <w:name w:val="Heading 7 Char"/>
    <w:basedOn w:val="821"/>
    <w:link w:val="818"/>
    <w:uiPriority w:val="9"/>
    <w:rPr>
      <w:rFonts w:ascii="Arial" w:hAnsi="Arial" w:eastAsia="Arial" w:cs="Arial"/>
      <w:b/>
      <w:bCs/>
      <w:i/>
      <w:iCs/>
      <w:sz w:val="22"/>
      <w:szCs w:val="22"/>
    </w:rPr>
  </w:style>
  <w:style w:type="character" w:styleId="782">
    <w:name w:val="Heading 8 Char"/>
    <w:basedOn w:val="821"/>
    <w:link w:val="819"/>
    <w:uiPriority w:val="9"/>
    <w:rPr>
      <w:rFonts w:ascii="Arial" w:hAnsi="Arial" w:eastAsia="Arial" w:cs="Arial"/>
      <w:i/>
      <w:iCs/>
      <w:sz w:val="22"/>
      <w:szCs w:val="22"/>
    </w:rPr>
  </w:style>
  <w:style w:type="character" w:styleId="783">
    <w:name w:val="Heading 9 Char"/>
    <w:basedOn w:val="821"/>
    <w:link w:val="820"/>
    <w:uiPriority w:val="9"/>
    <w:rPr>
      <w:rFonts w:ascii="Arial" w:hAnsi="Arial" w:eastAsia="Arial" w:cs="Arial"/>
      <w:i/>
      <w:iCs/>
      <w:sz w:val="21"/>
      <w:szCs w:val="21"/>
    </w:rPr>
  </w:style>
  <w:style w:type="character" w:styleId="784">
    <w:name w:val="Title Char"/>
    <w:basedOn w:val="821"/>
    <w:link w:val="852"/>
    <w:uiPriority w:val="10"/>
    <w:rPr>
      <w:sz w:val="48"/>
      <w:szCs w:val="48"/>
    </w:rPr>
  </w:style>
  <w:style w:type="character" w:styleId="785">
    <w:name w:val="Subtitle Char"/>
    <w:basedOn w:val="821"/>
    <w:link w:val="844"/>
    <w:uiPriority w:val="11"/>
    <w:rPr>
      <w:sz w:val="24"/>
      <w:szCs w:val="24"/>
    </w:rPr>
  </w:style>
  <w:style w:type="character" w:styleId="786">
    <w:name w:val="Quote Char"/>
    <w:link w:val="875"/>
    <w:uiPriority w:val="29"/>
    <w:rPr>
      <w:i/>
    </w:rPr>
  </w:style>
  <w:style w:type="character" w:styleId="787">
    <w:name w:val="Intense Quote Char"/>
    <w:link w:val="877"/>
    <w:uiPriority w:val="30"/>
    <w:rPr>
      <w:i/>
    </w:rPr>
  </w:style>
  <w:style w:type="character" w:styleId="788">
    <w:name w:val="Caption Char"/>
    <w:basedOn w:val="827"/>
    <w:link w:val="837"/>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5"/>
    <w:uiPriority w:val="99"/>
    <w:rPr>
      <w:sz w:val="18"/>
    </w:rPr>
  </w:style>
  <w:style w:type="character" w:styleId="809">
    <w:name w:val="Endnote Text Char"/>
    <w:link w:val="835"/>
    <w:uiPriority w:val="99"/>
    <w:rPr>
      <w:sz w:val="20"/>
    </w:rPr>
  </w:style>
  <w:style w:type="paragraph" w:styleId="810">
    <w:name w:val="TOC Heading"/>
    <w:uiPriority w:val="39"/>
    <w:unhideWhenUsed/>
  </w:style>
  <w:style w:type="paragraph" w:styleId="811" w:default="1">
    <w:name w:val="Normal"/>
    <w:next w:val="824"/>
    <w:qFormat/>
    <w:pPr>
      <w:jc w:val="both"/>
      <w:widowControl w:val="off"/>
    </w:pPr>
    <w:rPr>
      <w:rFonts w:eastAsia="楷体_GB2312"/>
      <w:sz w:val="26"/>
    </w:rPr>
  </w:style>
  <w:style w:type="paragraph" w:styleId="812">
    <w:name w:val="Heading 1"/>
    <w:basedOn w:val="811"/>
    <w:next w:val="811"/>
    <w:link w:val="862"/>
    <w:qFormat/>
    <w:pPr>
      <w:jc w:val="center"/>
      <w:keepLines/>
      <w:keepNext/>
      <w:spacing w:line="360" w:lineRule="auto"/>
      <w:outlineLvl w:val="0"/>
    </w:pPr>
    <w:rPr>
      <w:rFonts w:eastAsia="宋体"/>
      <w:b/>
      <w:sz w:val="32"/>
    </w:rPr>
  </w:style>
  <w:style w:type="paragraph" w:styleId="813">
    <w:name w:val="Heading 2"/>
    <w:basedOn w:val="811"/>
    <w:next w:val="811"/>
    <w:link w:val="863"/>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64"/>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65"/>
    <w:uiPriority w:val="9"/>
    <w:unhideWhenUsed/>
    <w:qFormat/>
    <w:pPr>
      <w:keepLines/>
      <w:keepNext/>
      <w:spacing w:before="320" w:after="200"/>
      <w:outlineLvl w:val="3"/>
    </w:pPr>
    <w:rPr>
      <w:rFonts w:ascii="Arial" w:hAnsi="Arial" w:eastAsia="Arial" w:cs="Arial"/>
      <w:b/>
      <w:bCs/>
      <w:szCs w:val="26"/>
    </w:rPr>
  </w:style>
  <w:style w:type="paragraph" w:styleId="816">
    <w:name w:val="Heading 5"/>
    <w:basedOn w:val="811"/>
    <w:next w:val="811"/>
    <w:link w:val="866"/>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67"/>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9"/>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70"/>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Body Text"/>
    <w:basedOn w:val="811"/>
    <w:next w:val="811"/>
    <w:link w:val="1053"/>
    <w:qFormat/>
    <w:rPr>
      <w:rFonts w:ascii="楷体_GB2312" w:hAnsi="Arial"/>
      <w:sz w:val="28"/>
    </w:rPr>
  </w:style>
  <w:style w:type="paragraph" w:styleId="825">
    <w:name w:val="toc 7"/>
    <w:basedOn w:val="811"/>
    <w:next w:val="811"/>
    <w:uiPriority w:val="39"/>
    <w:unhideWhenUsed/>
    <w:qFormat/>
    <w:pPr>
      <w:ind w:left="1701"/>
      <w:spacing w:after="57"/>
    </w:pPr>
  </w:style>
  <w:style w:type="paragraph" w:styleId="826">
    <w:name w:val="Normal Indent"/>
    <w:basedOn w:val="811"/>
    <w:next w:val="811"/>
    <w:uiPriority w:val="99"/>
    <w:qFormat/>
    <w:pPr>
      <w:ind w:firstLine="200"/>
    </w:pPr>
  </w:style>
  <w:style w:type="paragraph" w:styleId="827">
    <w:name w:val="Caption"/>
    <w:basedOn w:val="811"/>
    <w:next w:val="811"/>
    <w:uiPriority w:val="35"/>
    <w:semiHidden/>
    <w:unhideWhenUsed/>
    <w:qFormat/>
    <w:pPr>
      <w:spacing w:line="276" w:lineRule="auto"/>
    </w:pPr>
    <w:rPr>
      <w:b/>
      <w:bCs/>
      <w:color w:val="4f81bd"/>
      <w:sz w:val="18"/>
      <w:szCs w:val="18"/>
    </w:rPr>
  </w:style>
  <w:style w:type="paragraph" w:styleId="828">
    <w:name w:val="annotation text"/>
    <w:basedOn w:val="811"/>
    <w:link w:val="1044"/>
    <w:uiPriority w:val="99"/>
    <w:semiHidden/>
    <w:unhideWhenUsed/>
    <w:qFormat/>
    <w:pPr>
      <w:jc w:val="left"/>
    </w:pPr>
  </w:style>
  <w:style w:type="paragraph" w:styleId="829">
    <w:name w:val="Body Text Indent"/>
    <w:basedOn w:val="811"/>
    <w:qFormat/>
    <w:pPr>
      <w:ind w:firstLine="645"/>
    </w:pPr>
    <w:rPr>
      <w:rFonts w:ascii="楷体_GB2312" w:hAnsi="Calibri"/>
      <w:sz w:val="32"/>
      <w:szCs w:val="22"/>
    </w:rPr>
  </w:style>
  <w:style w:type="paragraph" w:styleId="830">
    <w:name w:val="Block Text"/>
    <w:basedOn w:val="811"/>
    <w:qFormat/>
    <w:pPr>
      <w:ind w:left="525" w:right="-1" w:firstLine="525"/>
      <w:spacing w:line="312" w:lineRule="atLeast"/>
    </w:pPr>
    <w:rPr>
      <w:sz w:val="28"/>
      <w:szCs w:val="28"/>
    </w:r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next w:val="826"/>
    <w:qFormat/>
    <w:rPr>
      <w:rFonts w:ascii="宋体"/>
    </w:rPr>
  </w:style>
  <w:style w:type="paragraph" w:styleId="834">
    <w:name w:val="toc 8"/>
    <w:basedOn w:val="811"/>
    <w:next w:val="811"/>
    <w:uiPriority w:val="39"/>
    <w:unhideWhenUsed/>
    <w:qFormat/>
    <w:pPr>
      <w:ind w:left="1984"/>
      <w:spacing w:after="57"/>
    </w:pPr>
  </w:style>
  <w:style w:type="paragraph" w:styleId="835">
    <w:name w:val="endnote text"/>
    <w:basedOn w:val="811"/>
    <w:link w:val="1008"/>
    <w:uiPriority w:val="99"/>
    <w:semiHidden/>
    <w:unhideWhenUsed/>
    <w:qFormat/>
    <w:rPr>
      <w:sz w:val="20"/>
    </w:rPr>
  </w:style>
  <w:style w:type="paragraph" w:styleId="836">
    <w:name w:val="Balloon Text"/>
    <w:basedOn w:val="811"/>
    <w:link w:val="1040"/>
    <w:uiPriority w:val="99"/>
    <w:semiHidden/>
    <w:unhideWhenUsed/>
    <w:qFormat/>
    <w:rPr>
      <w:sz w:val="18"/>
      <w:szCs w:val="18"/>
    </w:rPr>
  </w:style>
  <w:style w:type="paragraph" w:styleId="837">
    <w:name w:val="Footer"/>
    <w:basedOn w:val="811"/>
    <w:link w:val="881"/>
    <w:uiPriority w:val="99"/>
    <w:unhideWhenUsed/>
    <w:qFormat/>
    <w:pPr>
      <w:tabs>
        <w:tab w:val="center" w:pos="7143" w:leader="none"/>
        <w:tab w:val="right" w:pos="14287" w:leader="none"/>
      </w:tabs>
    </w:pPr>
  </w:style>
  <w:style w:type="paragraph" w:styleId="838">
    <w:name w:val="envelope return"/>
    <w:basedOn w:val="839"/>
    <w:uiPriority w:val="99"/>
    <w:unhideWhenUsed/>
    <w:qFormat/>
    <w:rPr>
      <w:rFonts w:ascii="Arial" w:hAnsi="Arial"/>
    </w:rPr>
  </w:style>
  <w:style w:type="paragraph" w:styleId="839" w:customStyle="1">
    <w:name w:val="Normal_19"/>
    <w:next w:val="840"/>
    <w:qFormat/>
    <w:pPr>
      <w:jc w:val="both"/>
      <w:widowControl w:val="off"/>
    </w:pPr>
    <w:rPr>
      <w:sz w:val="21"/>
      <w:szCs w:val="24"/>
    </w:rPr>
  </w:style>
  <w:style w:type="paragraph" w:styleId="840" w:customStyle="1">
    <w:name w:val="正文文本缩进1"/>
    <w:basedOn w:val="811"/>
    <w:next w:val="838"/>
    <w:unhideWhenUsed/>
    <w:qFormat/>
    <w:pPr>
      <w:ind w:firstLine="570"/>
    </w:pPr>
    <w:rPr>
      <w:rFonts w:ascii="宋体" w:eastAsia="宋体"/>
      <w:sz w:val="28"/>
    </w:rPr>
  </w:style>
  <w:style w:type="paragraph" w:styleId="841">
    <w:name w:val="Header"/>
    <w:basedOn w:val="811"/>
    <w:link w:val="1010"/>
    <w:qFormat/>
    <w:pPr>
      <w:jc w:val="center"/>
      <w:tabs>
        <w:tab w:val="center" w:pos="4153" w:leader="none"/>
        <w:tab w:val="right" w:pos="8306" w:leader="none"/>
      </w:tabs>
    </w:pPr>
    <w:rPr>
      <w:sz w:val="18"/>
      <w:szCs w:val="18"/>
    </w:rPr>
  </w:style>
  <w:style w:type="paragraph" w:styleId="842">
    <w:name w:val="toc 1"/>
    <w:basedOn w:val="811"/>
    <w:next w:val="811"/>
    <w:uiPriority w:val="39"/>
    <w:unhideWhenUsed/>
    <w:qFormat/>
    <w:pPr>
      <w:spacing w:after="57"/>
    </w:pPr>
  </w:style>
  <w:style w:type="paragraph" w:styleId="843">
    <w:name w:val="toc 4"/>
    <w:basedOn w:val="811"/>
    <w:next w:val="811"/>
    <w:uiPriority w:val="39"/>
    <w:unhideWhenUsed/>
    <w:qFormat/>
    <w:pPr>
      <w:ind w:left="850"/>
      <w:spacing w:after="57"/>
    </w:pPr>
  </w:style>
  <w:style w:type="paragraph" w:styleId="844">
    <w:name w:val="Subtitle"/>
    <w:basedOn w:val="811"/>
    <w:next w:val="811"/>
    <w:link w:val="874"/>
    <w:uiPriority w:val="11"/>
    <w:qFormat/>
    <w:pPr>
      <w:spacing w:before="200" w:after="200"/>
    </w:pPr>
    <w:rPr>
      <w:sz w:val="24"/>
      <w:szCs w:val="24"/>
    </w:rPr>
  </w:style>
  <w:style w:type="paragraph" w:styleId="845">
    <w:name w:val="footnote text"/>
    <w:basedOn w:val="811"/>
    <w:link w:val="1007"/>
    <w:uiPriority w:val="99"/>
    <w:semiHidden/>
    <w:unhideWhenUsed/>
    <w:qFormat/>
    <w:pPr>
      <w:spacing w:after="40"/>
    </w:pPr>
    <w:rPr>
      <w:sz w:val="18"/>
    </w:rPr>
  </w:style>
  <w:style w:type="paragraph" w:styleId="846">
    <w:name w:val="toc 6"/>
    <w:basedOn w:val="811"/>
    <w:next w:val="811"/>
    <w:uiPriority w:val="39"/>
    <w:unhideWhenUsed/>
    <w:qFormat/>
    <w:pPr>
      <w:ind w:left="1417"/>
      <w:spacing w:after="57"/>
    </w:pPr>
  </w:style>
  <w:style w:type="paragraph" w:styleId="847">
    <w:name w:val="table of figures"/>
    <w:basedOn w:val="811"/>
    <w:next w:val="811"/>
    <w:uiPriority w:val="99"/>
    <w:unhideWhenUsed/>
    <w:qFormat/>
  </w:style>
  <w:style w:type="paragraph" w:styleId="848">
    <w:name w:val="toc 2"/>
    <w:basedOn w:val="811"/>
    <w:next w:val="811"/>
    <w:uiPriority w:val="39"/>
    <w:unhideWhenUsed/>
    <w:qFormat/>
    <w:pPr>
      <w:ind w:left="283"/>
      <w:spacing w:after="57"/>
    </w:pPr>
  </w:style>
  <w:style w:type="paragraph" w:styleId="849">
    <w:name w:val="toc 9"/>
    <w:basedOn w:val="811"/>
    <w:next w:val="811"/>
    <w:uiPriority w:val="39"/>
    <w:unhideWhenUsed/>
    <w:qFormat/>
    <w:pPr>
      <w:ind w:left="2268"/>
      <w:spacing w:after="57"/>
    </w:pPr>
  </w:style>
  <w:style w:type="paragraph" w:styleId="850">
    <w:name w:val="HTML Preformatted"/>
    <w:basedOn w:val="811"/>
    <w:link w:val="1052"/>
    <w:uiPriority w:val="99"/>
    <w:semiHidden/>
    <w:unhideWhenUsed/>
    <w:qFormat/>
    <w:rPr>
      <w:rFonts w:ascii="Courier New" w:hAnsi="Courier New" w:cs="Courier New"/>
      <w:sz w:val="20"/>
    </w:rPr>
  </w:style>
  <w:style w:type="paragraph" w:styleId="851">
    <w:name w:val="Normal (Web)"/>
    <w:basedOn w:val="811"/>
    <w:uiPriority w:val="99"/>
    <w:qFormat/>
    <w:pPr>
      <w:jc w:val="left"/>
      <w:spacing w:before="100" w:beforeAutospacing="1" w:after="100" w:afterAutospacing="1"/>
      <w:widowControl/>
    </w:pPr>
    <w:rPr>
      <w:rFonts w:ascii="宋体" w:hAnsi="宋体"/>
      <w:color w:val="000000"/>
      <w:sz w:val="24"/>
      <w:szCs w:val="24"/>
    </w:rPr>
  </w:style>
  <w:style w:type="paragraph" w:styleId="852">
    <w:name w:val="Title"/>
    <w:basedOn w:val="811"/>
    <w:next w:val="811"/>
    <w:link w:val="873"/>
    <w:uiPriority w:val="10"/>
    <w:qFormat/>
    <w:pPr>
      <w:contextualSpacing/>
      <w:spacing w:before="300" w:after="200"/>
    </w:pPr>
    <w:rPr>
      <w:sz w:val="48"/>
      <w:szCs w:val="48"/>
    </w:rPr>
  </w:style>
  <w:style w:type="paragraph" w:styleId="853">
    <w:name w:val="Body Text First Indent"/>
    <w:basedOn w:val="824"/>
    <w:next w:val="854"/>
    <w:qFormat/>
    <w:pPr>
      <w:ind w:firstLine="420"/>
    </w:pPr>
  </w:style>
  <w:style w:type="paragraph" w:styleId="854">
    <w:name w:val="Body Text First Indent 2"/>
    <w:basedOn w:val="829"/>
    <w:uiPriority w:val="99"/>
    <w:unhideWhenUsed/>
    <w:qFormat/>
    <w:pPr>
      <w:ind w:firstLine="200"/>
    </w:pPr>
  </w:style>
  <w:style w:type="table" w:styleId="855">
    <w:name w:val="Table Grid"/>
    <w:basedOn w:val="82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endnote reference"/>
    <w:uiPriority w:val="99"/>
    <w:semiHidden/>
    <w:unhideWhenUsed/>
    <w:qFormat/>
    <w:rPr>
      <w:vertAlign w:val="superscript"/>
    </w:rPr>
  </w:style>
  <w:style w:type="character" w:styleId="857">
    <w:name w:val="Emphasis"/>
    <w:qFormat/>
    <w:rPr>
      <w:rFonts w:ascii="Times New Roman" w:hAnsi="Times New Roman" w:eastAsia="宋体" w:cs="Times New Roman"/>
      <w:i/>
    </w:rPr>
  </w:style>
  <w:style w:type="character" w:styleId="858">
    <w:name w:val="Hyperlink"/>
    <w:uiPriority w:val="99"/>
    <w:unhideWhenUsed/>
    <w:qFormat/>
    <w:rPr>
      <w:color w:val="0563c1"/>
      <w:u w:val="single"/>
    </w:rPr>
  </w:style>
  <w:style w:type="character" w:styleId="859">
    <w:name w:val="annotation reference"/>
    <w:basedOn w:val="821"/>
    <w:uiPriority w:val="99"/>
    <w:semiHidden/>
    <w:unhideWhenUsed/>
    <w:qFormat/>
    <w:rPr>
      <w:sz w:val="21"/>
      <w:szCs w:val="21"/>
    </w:rPr>
  </w:style>
  <w:style w:type="character" w:styleId="860">
    <w:name w:val="footnote reference"/>
    <w:uiPriority w:val="99"/>
    <w:unhideWhenUsed/>
    <w:qFormat/>
    <w:rPr>
      <w:vertAlign w:val="superscript"/>
    </w:rPr>
  </w:style>
  <w:style w:type="paragraph" w:styleId="861" w:customStyle="1">
    <w:name w:val="标题 31"/>
    <w:basedOn w:val="811"/>
    <w:next w:val="811"/>
    <w:qFormat/>
    <w:pPr>
      <w:keepLines/>
      <w:keepNext/>
      <w:spacing w:before="260" w:after="260" w:line="416" w:lineRule="auto"/>
      <w:outlineLvl w:val="2"/>
    </w:pPr>
    <w:rPr>
      <w:b/>
      <w:bCs/>
      <w:sz w:val="32"/>
      <w:szCs w:val="32"/>
    </w:rPr>
  </w:style>
  <w:style w:type="character" w:styleId="862" w:customStyle="1">
    <w:name w:val="标题 1 字符"/>
    <w:link w:val="812"/>
    <w:qFormat/>
    <w:rPr>
      <w:rFonts w:ascii="Arial" w:hAnsi="Arial" w:eastAsia="Arial" w:cs="Arial"/>
      <w:sz w:val="40"/>
      <w:szCs w:val="40"/>
    </w:rPr>
  </w:style>
  <w:style w:type="character" w:styleId="863" w:customStyle="1">
    <w:name w:val="标题 2 字符"/>
    <w:link w:val="813"/>
    <w:uiPriority w:val="9"/>
    <w:qFormat/>
    <w:rPr>
      <w:rFonts w:ascii="Arial" w:hAnsi="Arial" w:eastAsia="Arial" w:cs="Arial"/>
      <w:sz w:val="34"/>
    </w:rPr>
  </w:style>
  <w:style w:type="character" w:styleId="864" w:customStyle="1">
    <w:name w:val="标题 3 字符"/>
    <w:link w:val="814"/>
    <w:uiPriority w:val="9"/>
    <w:qFormat/>
    <w:rPr>
      <w:rFonts w:ascii="Arial" w:hAnsi="Arial" w:eastAsia="Arial" w:cs="Arial"/>
      <w:sz w:val="30"/>
      <w:szCs w:val="30"/>
    </w:rPr>
  </w:style>
  <w:style w:type="character" w:styleId="865" w:customStyle="1">
    <w:name w:val="标题 4 字符"/>
    <w:link w:val="815"/>
    <w:uiPriority w:val="9"/>
    <w:qFormat/>
    <w:rPr>
      <w:rFonts w:ascii="Arial" w:hAnsi="Arial" w:eastAsia="Arial" w:cs="Arial"/>
      <w:b/>
      <w:bCs/>
      <w:sz w:val="26"/>
      <w:szCs w:val="26"/>
    </w:rPr>
  </w:style>
  <w:style w:type="character" w:styleId="866" w:customStyle="1">
    <w:name w:val="标题 5 字符"/>
    <w:link w:val="816"/>
    <w:uiPriority w:val="9"/>
    <w:qFormat/>
    <w:rPr>
      <w:rFonts w:ascii="Arial" w:hAnsi="Arial" w:eastAsia="Arial" w:cs="Arial"/>
      <w:b/>
      <w:bCs/>
      <w:sz w:val="24"/>
      <w:szCs w:val="24"/>
    </w:rPr>
  </w:style>
  <w:style w:type="character" w:styleId="867" w:customStyle="1">
    <w:name w:val="标题 6 字符"/>
    <w:link w:val="817"/>
    <w:uiPriority w:val="9"/>
    <w:qFormat/>
    <w:rPr>
      <w:rFonts w:ascii="Arial" w:hAnsi="Arial" w:eastAsia="Arial" w:cs="Arial"/>
      <w:b/>
      <w:bCs/>
      <w:sz w:val="22"/>
      <w:szCs w:val="22"/>
    </w:rPr>
  </w:style>
  <w:style w:type="character" w:styleId="868" w:customStyle="1">
    <w:name w:val="标题 7 字符"/>
    <w:link w:val="818"/>
    <w:uiPriority w:val="9"/>
    <w:qFormat/>
    <w:rPr>
      <w:rFonts w:ascii="Arial" w:hAnsi="Arial" w:eastAsia="Arial" w:cs="Arial"/>
      <w:b/>
      <w:bCs/>
      <w:i/>
      <w:iCs/>
      <w:sz w:val="22"/>
      <w:szCs w:val="22"/>
    </w:rPr>
  </w:style>
  <w:style w:type="character" w:styleId="869" w:customStyle="1">
    <w:name w:val="标题 8 字符"/>
    <w:link w:val="819"/>
    <w:uiPriority w:val="9"/>
    <w:qFormat/>
    <w:rPr>
      <w:rFonts w:ascii="Arial" w:hAnsi="Arial" w:eastAsia="Arial" w:cs="Arial"/>
      <w:i/>
      <w:iCs/>
      <w:sz w:val="22"/>
      <w:szCs w:val="22"/>
    </w:rPr>
  </w:style>
  <w:style w:type="character" w:styleId="870" w:customStyle="1">
    <w:name w:val="标题 9 字符"/>
    <w:link w:val="820"/>
    <w:uiPriority w:val="9"/>
    <w:qFormat/>
    <w:rPr>
      <w:rFonts w:ascii="Arial" w:hAnsi="Arial" w:eastAsia="Arial" w:cs="Arial"/>
      <w:i/>
      <w:iCs/>
      <w:sz w:val="21"/>
      <w:szCs w:val="21"/>
    </w:rPr>
  </w:style>
  <w:style w:type="paragraph" w:styleId="871">
    <w:name w:val="List Paragraph"/>
    <w:basedOn w:val="811"/>
    <w:qFormat/>
    <w:pPr>
      <w:ind w:firstLine="420"/>
    </w:pPr>
  </w:style>
  <w:style w:type="paragraph" w:styleId="872">
    <w:name w:val="No Spacing"/>
    <w:uiPriority w:val="1"/>
    <w:qFormat/>
  </w:style>
  <w:style w:type="character" w:styleId="873" w:customStyle="1">
    <w:name w:val="标题 字符"/>
    <w:link w:val="852"/>
    <w:uiPriority w:val="10"/>
    <w:qFormat/>
    <w:rPr>
      <w:sz w:val="48"/>
      <w:szCs w:val="48"/>
    </w:rPr>
  </w:style>
  <w:style w:type="character" w:styleId="874" w:customStyle="1">
    <w:name w:val="副标题 字符"/>
    <w:link w:val="844"/>
    <w:uiPriority w:val="11"/>
    <w:qFormat/>
    <w:rPr>
      <w:sz w:val="24"/>
      <w:szCs w:val="24"/>
    </w:rPr>
  </w:style>
  <w:style w:type="paragraph" w:styleId="875">
    <w:name w:val="Quote"/>
    <w:basedOn w:val="811"/>
    <w:next w:val="811"/>
    <w:link w:val="876"/>
    <w:uiPriority w:val="29"/>
    <w:qFormat/>
    <w:pPr>
      <w:ind w:left="720" w:right="720"/>
    </w:pPr>
    <w:rPr>
      <w:i/>
    </w:rPr>
  </w:style>
  <w:style w:type="character" w:styleId="876" w:customStyle="1">
    <w:name w:val="引用 字符"/>
    <w:link w:val="875"/>
    <w:uiPriority w:val="29"/>
    <w:qFormat/>
    <w:rPr>
      <w:i/>
    </w:rPr>
  </w:style>
  <w:style w:type="paragraph" w:styleId="877">
    <w:name w:val="Intense Quote"/>
    <w:basedOn w:val="811"/>
    <w:next w:val="811"/>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字符"/>
    <w:link w:val="877"/>
    <w:uiPriority w:val="30"/>
    <w:qFormat/>
    <w:rPr>
      <w:i/>
    </w:rPr>
  </w:style>
  <w:style w:type="character" w:styleId="879" w:customStyle="1">
    <w:name w:val="Header Char"/>
    <w:uiPriority w:val="99"/>
    <w:qFormat/>
  </w:style>
  <w:style w:type="character" w:styleId="880" w:customStyle="1">
    <w:name w:val="Footer Char"/>
    <w:uiPriority w:val="99"/>
    <w:qFormat/>
  </w:style>
  <w:style w:type="character" w:styleId="881" w:customStyle="1">
    <w:name w:val="页脚 字符"/>
    <w:link w:val="837"/>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5" w:customStyle="1">
    <w:name w:val="无格式表格 31"/>
    <w:uiPriority w:val="99"/>
    <w:qFormat/>
    <w:tblPr>
      <w:tblCellMar>
        <w:left w:w="0" w:type="dxa"/>
        <w:top w:w="0" w:type="dxa"/>
        <w:right w:w="0" w:type="dxa"/>
        <w:bottom w:w="0" w:type="dxa"/>
      </w:tblCellMar>
    </w:tblPr>
  </w:style>
  <w:style w:type="table" w:styleId="886" w:customStyle="1">
    <w:name w:val="无格式表格 41"/>
    <w:uiPriority w:val="99"/>
    <w:qFormat/>
    <w:tblPr>
      <w:tblCellMar>
        <w:left w:w="0" w:type="dxa"/>
        <w:top w:w="0" w:type="dxa"/>
        <w:right w:w="0" w:type="dxa"/>
        <w:bottom w:w="0" w:type="dxa"/>
      </w:tblCellMar>
    </w:tblPr>
  </w:style>
  <w:style w:type="table" w:styleId="887" w:customStyle="1">
    <w:name w:val="无格式表格 51"/>
    <w:uiPriority w:val="99"/>
    <w:qFormat/>
    <w:tblPr>
      <w:tblCellMar>
        <w:left w:w="0" w:type="dxa"/>
        <w:top w:w="0" w:type="dxa"/>
        <w:right w:w="0" w:type="dxa"/>
        <w:bottom w:w="0" w:type="dxa"/>
      </w:tblCellMar>
    </w:tblPr>
  </w:style>
  <w:style w:type="table" w:styleId="8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清单表 1 浅色1"/>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845"/>
    <w:uiPriority w:val="99"/>
    <w:qFormat/>
    <w:rPr>
      <w:sz w:val="18"/>
    </w:rPr>
  </w:style>
  <w:style w:type="character" w:styleId="1008" w:customStyle="1">
    <w:name w:val="尾注文本 字符"/>
    <w:link w:val="835"/>
    <w:uiPriority w:val="99"/>
    <w:qFormat/>
    <w:rPr>
      <w:sz w:val="20"/>
    </w:rPr>
  </w:style>
  <w:style w:type="paragraph" w:styleId="1009" w:customStyle="1">
    <w:name w:val="TOC 标题1"/>
    <w:uiPriority w:val="39"/>
    <w:unhideWhenUsed/>
    <w:qFormat/>
  </w:style>
  <w:style w:type="character" w:styleId="1010" w:customStyle="1">
    <w:name w:val="页眉 字符"/>
    <w:link w:val="841"/>
    <w:qFormat/>
    <w:rPr>
      <w:rFonts w:ascii="Times New Roman" w:hAnsi="Times New Roman" w:eastAsia="楷体_GB2312"/>
      <w:sz w:val="18"/>
      <w:szCs w:val="18"/>
    </w:rPr>
  </w:style>
  <w:style w:type="paragraph" w:styleId="1011" w:customStyle="1">
    <w:name w:val="索引 41"/>
    <w:basedOn w:val="811"/>
    <w:next w:val="811"/>
    <w:qFormat/>
    <w:pPr>
      <w:ind w:left="600"/>
    </w:pPr>
    <w:rPr>
      <w:szCs w:val="21"/>
    </w:rPr>
  </w:style>
  <w:style w:type="paragraph" w:styleId="1012" w:customStyle="1">
    <w:name w:val="正文首行缩进 21"/>
    <w:basedOn w:val="840"/>
    <w:uiPriority w:val="99"/>
    <w:unhideWhenUsed/>
    <w:qFormat/>
    <w:pPr>
      <w:ind w:firstLine="420"/>
    </w:pPr>
  </w:style>
  <w:style w:type="paragraph" w:styleId="1013" w:customStyle="1">
    <w:name w:val="目录 11"/>
    <w:basedOn w:val="811"/>
    <w:next w:val="811"/>
    <w:unhideWhenUsed/>
    <w:qFormat/>
    <w:pPr>
      <w:jc w:val="left"/>
    </w:pPr>
    <w:rPr>
      <w:sz w:val="24"/>
    </w:rPr>
  </w:style>
  <w:style w:type="paragraph" w:styleId="1014" w:customStyle="1">
    <w:name w:val="标题 21"/>
    <w:basedOn w:val="811"/>
    <w:next w:val="811"/>
    <w:qFormat/>
    <w:pPr>
      <w:keepLines/>
      <w:keepNext/>
      <w:spacing w:before="260" w:after="260" w:line="416" w:lineRule="auto"/>
      <w:outlineLvl w:val="1"/>
    </w:pPr>
    <w:rPr>
      <w:rFonts w:ascii="Cambria" w:hAnsi="Cambria" w:eastAsia="宋体"/>
      <w:b/>
      <w:bCs/>
      <w:sz w:val="32"/>
      <w:szCs w:val="32"/>
    </w:rPr>
  </w:style>
  <w:style w:type="paragraph" w:styleId="1015" w:customStyle="1">
    <w:name w:val="Default"/>
    <w:qFormat/>
    <w:pPr>
      <w:widowControl w:val="off"/>
    </w:pPr>
    <w:rPr>
      <w:rFonts w:ascii="仿宋" w:eastAsia="仿宋" w:cs="仿宋"/>
      <w:color w:val="000000"/>
      <w:sz w:val="24"/>
      <w:szCs w:val="24"/>
    </w:rPr>
  </w:style>
  <w:style w:type="paragraph" w:styleId="1016" w:customStyle="1">
    <w:name w:val="纯文本1111"/>
    <w:basedOn w:val="811"/>
    <w:next w:val="1017"/>
    <w:unhideWhenUsed/>
    <w:qFormat/>
    <w:rPr>
      <w:rFonts w:ascii="宋体" w:hAnsi="Courier New"/>
    </w:rPr>
  </w:style>
  <w:style w:type="paragraph" w:styleId="1017" w:customStyle="1">
    <w:name w:val="正文缩进1"/>
    <w:basedOn w:val="811"/>
    <w:unhideWhenUsed/>
    <w:qFormat/>
    <w:pPr>
      <w:ind w:firstLine="420"/>
      <w:jc w:val="left"/>
    </w:pPr>
    <w:rPr>
      <w:sz w:val="24"/>
    </w:rPr>
  </w:style>
  <w:style w:type="paragraph" w:styleId="1018" w:customStyle="1">
    <w:name w:val="首行缩进"/>
    <w:basedOn w:val="811"/>
    <w:qFormat/>
    <w:pPr>
      <w:ind w:firstLine="480"/>
      <w:spacing w:line="360" w:lineRule="auto"/>
    </w:pPr>
    <w:rPr>
      <w:rFonts w:hAnsi="宋体" w:eastAsia="宋体" w:cs="宋体"/>
      <w:sz w:val="24"/>
      <w:szCs w:val="24"/>
    </w:rPr>
  </w:style>
  <w:style w:type="paragraph" w:styleId="1019" w:customStyle="1">
    <w:name w:val="Char"/>
    <w:basedOn w:val="811"/>
    <w:qFormat/>
  </w:style>
  <w:style w:type="paragraph" w:styleId="1020" w:customStyle="1">
    <w:name w:val="标题 11"/>
    <w:basedOn w:val="811"/>
    <w:next w:val="811"/>
    <w:qFormat/>
    <w:pPr>
      <w:keepLines/>
      <w:keepNext/>
      <w:spacing w:before="340" w:after="330" w:line="578" w:lineRule="auto"/>
      <w:outlineLvl w:val="0"/>
    </w:pPr>
    <w:rPr>
      <w:b/>
      <w:sz w:val="44"/>
    </w:rPr>
  </w:style>
  <w:style w:type="paragraph" w:styleId="1021" w:customStyle="1">
    <w:name w:val="纯文本1"/>
    <w:basedOn w:val="811"/>
    <w:qFormat/>
    <w:rPr>
      <w:rFonts w:ascii="宋体" w:hAnsi="Courier New"/>
    </w:rPr>
  </w:style>
  <w:style w:type="paragraph" w:styleId="1022" w:customStyle="1">
    <w:name w:val="正文2"/>
    <w:basedOn w:val="811"/>
    <w:qFormat/>
    <w:pPr>
      <w:ind w:firstLine="510"/>
      <w:spacing w:before="156" w:line="360" w:lineRule="auto"/>
    </w:pPr>
    <w:rPr>
      <w:sz w:val="24"/>
    </w:rPr>
  </w:style>
  <w:style w:type="character" w:styleId="1023" w:customStyle="1">
    <w:name w:val="要点1"/>
    <w:qFormat/>
    <w:rPr>
      <w:b/>
      <w:bCs/>
    </w:rPr>
  </w:style>
  <w:style w:type="paragraph" w:styleId="1024" w:customStyle="1">
    <w:name w:val="普通(网站)1"/>
    <w:basedOn w:val="811"/>
    <w:unhideWhenUsed/>
    <w:qFormat/>
    <w:pPr>
      <w:jc w:val="left"/>
      <w:spacing w:before="100" w:beforeAutospacing="1" w:after="100" w:afterAutospacing="1"/>
      <w:widowControl/>
    </w:pPr>
    <w:rPr>
      <w:rFonts w:ascii="宋体" w:hAnsi="宋体" w:cs="宋体"/>
      <w:sz w:val="24"/>
    </w:rPr>
  </w:style>
  <w:style w:type="paragraph" w:styleId="1025" w:customStyle="1">
    <w:name w:val="正文文本缩进 21"/>
    <w:basedOn w:val="811"/>
    <w:unhideWhenUsed/>
    <w:qFormat/>
    <w:pPr>
      <w:ind w:left="420"/>
      <w:spacing w:after="120" w:line="480" w:lineRule="auto"/>
    </w:pPr>
  </w:style>
  <w:style w:type="paragraph" w:styleId="1026" w:customStyle="1">
    <w:name w:val="纯文本11"/>
    <w:basedOn w:val="811"/>
    <w:uiPriority w:val="99"/>
    <w:qFormat/>
    <w:rPr>
      <w:rFonts w:ascii="宋体" w:hAnsi="Courier New"/>
    </w:rPr>
  </w:style>
  <w:style w:type="paragraph" w:styleId="1027" w:customStyle="1">
    <w:name w:val="索引 11"/>
    <w:basedOn w:val="811"/>
    <w:next w:val="811"/>
    <w:unhideWhenUsed/>
    <w:qFormat/>
    <w:pPr>
      <w:jc w:val="center"/>
      <w:spacing w:line="220" w:lineRule="exact"/>
    </w:pPr>
    <w:rPr>
      <w:rFonts w:ascii="仿宋_GB2312" w:eastAsia="仿宋_GB2312"/>
      <w:szCs w:val="21"/>
    </w:rPr>
  </w:style>
  <w:style w:type="paragraph" w:styleId="1028" w:customStyle="1">
    <w:name w:val="正文文本1"/>
    <w:basedOn w:val="811"/>
    <w:unhideWhenUsed/>
    <w:qFormat/>
    <w:rPr>
      <w:rFonts w:ascii="楷体_GB2312"/>
      <w:b/>
      <w:bCs/>
      <w:sz w:val="28"/>
    </w:rPr>
  </w:style>
  <w:style w:type="paragraph" w:styleId="1029" w:customStyle="1">
    <w:name w:val="页眉1"/>
    <w:basedOn w:val="811"/>
    <w:unhideWhenUsed/>
    <w:qFormat/>
    <w:pPr>
      <w:jc w:val="center"/>
      <w:tabs>
        <w:tab w:val="center" w:pos="4153" w:leader="none"/>
        <w:tab w:val="right" w:pos="8306" w:leader="none"/>
      </w:tabs>
      <w:pBdr>
        <w:bottom w:val="single" w:color="000000" w:sz="6" w:space="1"/>
      </w:pBdr>
    </w:pPr>
    <w:rPr>
      <w:sz w:val="18"/>
    </w:rPr>
  </w:style>
  <w:style w:type="paragraph" w:styleId="1030" w:customStyle="1">
    <w:name w:val="页脚1"/>
    <w:basedOn w:val="811"/>
    <w:unhideWhenUsed/>
    <w:qFormat/>
    <w:pPr>
      <w:jc w:val="left"/>
      <w:tabs>
        <w:tab w:val="center" w:pos="4153" w:leader="none"/>
        <w:tab w:val="right" w:pos="8306" w:leader="none"/>
      </w:tabs>
    </w:pPr>
    <w:rPr>
      <w:sz w:val="18"/>
    </w:rPr>
  </w:style>
  <w:style w:type="character" w:styleId="1031" w:customStyle="1">
    <w:name w:val="font81"/>
    <w:qFormat/>
    <w:rPr>
      <w:rFonts w:ascii="Times New Roman" w:hAnsi="Times New Roman" w:cs="Times New Roman"/>
      <w:color w:val="000000"/>
      <w:sz w:val="22"/>
      <w:szCs w:val="22"/>
      <w:u w:val="none"/>
    </w:rPr>
  </w:style>
  <w:style w:type="character" w:styleId="1032" w:customStyle="1">
    <w:name w:val="font11"/>
    <w:qFormat/>
    <w:rPr>
      <w:rFonts w:hint="eastAsia" w:ascii="仿宋" w:hAnsi="仿宋" w:eastAsia="仿宋" w:cs="仿宋"/>
      <w:color w:val="000000"/>
      <w:sz w:val="22"/>
      <w:szCs w:val="22"/>
      <w:u w:val="none"/>
    </w:rPr>
  </w:style>
  <w:style w:type="character" w:styleId="1033" w:customStyle="1">
    <w:name w:val="font101"/>
    <w:qFormat/>
    <w:rPr>
      <w:rFonts w:ascii="Arial" w:hAnsi="Arial" w:cs="Arial"/>
      <w:color w:val="000000"/>
      <w:sz w:val="22"/>
      <w:szCs w:val="22"/>
      <w:u w:val="none"/>
    </w:rPr>
  </w:style>
  <w:style w:type="paragraph" w:styleId="1034" w:customStyle="1">
    <w:name w:val="List Paragraph_f0420307-4c65-4cf4-ac34-e8950b7bacb1"/>
    <w:basedOn w:val="811"/>
    <w:qFormat/>
    <w:pPr>
      <w:ind w:firstLine="420"/>
    </w:pPr>
    <w:rPr>
      <w:rFonts w:eastAsia="宋体"/>
      <w:sz w:val="21"/>
      <w:szCs w:val="21"/>
    </w:rPr>
  </w:style>
  <w:style w:type="character" w:styleId="1035" w:customStyle="1">
    <w:name w:val="font51"/>
    <w:basedOn w:val="821"/>
    <w:qFormat/>
    <w:rPr>
      <w:rFonts w:hint="default" w:ascii="Times New Roman" w:hAnsi="Times New Roman" w:cs="Times New Roman"/>
      <w:color w:val="000000"/>
      <w:sz w:val="21"/>
      <w:szCs w:val="21"/>
      <w:u w:val="none"/>
    </w:rPr>
  </w:style>
  <w:style w:type="character" w:styleId="1036" w:customStyle="1">
    <w:name w:val="font31"/>
    <w:basedOn w:val="821"/>
    <w:qFormat/>
    <w:rPr>
      <w:rFonts w:hint="eastAsia" w:ascii="宋体" w:hAnsi="宋体" w:eastAsia="宋体" w:cs="宋体"/>
      <w:color w:val="000000"/>
      <w:sz w:val="21"/>
      <w:szCs w:val="21"/>
      <w:u w:val="none"/>
    </w:rPr>
  </w:style>
  <w:style w:type="character" w:styleId="1037" w:customStyle="1">
    <w:name w:val="font21"/>
    <w:basedOn w:val="821"/>
    <w:qFormat/>
    <w:rPr>
      <w:rFonts w:hint="default" w:ascii="Times New Roman" w:hAnsi="Times New Roman" w:cs="Times New Roman"/>
      <w:color w:val="000000"/>
      <w:sz w:val="21"/>
      <w:szCs w:val="21"/>
      <w:u w:val="none"/>
    </w:rPr>
  </w:style>
  <w:style w:type="character" w:styleId="1038" w:customStyle="1">
    <w:name w:val="font61"/>
    <w:basedOn w:val="821"/>
    <w:qFormat/>
    <w:rPr>
      <w:rFonts w:hint="eastAsia" w:ascii="宋体" w:hAnsi="宋体" w:eastAsia="宋体" w:cs="宋体"/>
      <w:color w:val="000000"/>
      <w:sz w:val="21"/>
      <w:szCs w:val="21"/>
      <w:u w:val="none"/>
    </w:rPr>
  </w:style>
  <w:style w:type="character" w:styleId="1039" w:customStyle="1">
    <w:name w:val="font41"/>
    <w:basedOn w:val="821"/>
    <w:qFormat/>
    <w:rPr>
      <w:rFonts w:hint="default" w:ascii="Times New Roman" w:hAnsi="Times New Roman" w:cs="Times New Roman"/>
      <w:color w:val="000000"/>
      <w:sz w:val="20"/>
      <w:szCs w:val="20"/>
      <w:u w:val="none"/>
    </w:rPr>
  </w:style>
  <w:style w:type="character" w:styleId="1040" w:customStyle="1">
    <w:name w:val="批注框文本 字符"/>
    <w:basedOn w:val="821"/>
    <w:link w:val="836"/>
    <w:uiPriority w:val="99"/>
    <w:semiHidden/>
    <w:qFormat/>
    <w:rPr>
      <w:rFonts w:eastAsia="楷体_GB2312"/>
      <w:sz w:val="18"/>
      <w:szCs w:val="18"/>
    </w:rPr>
  </w:style>
  <w:style w:type="table" w:styleId="1041" w:customStyle="1">
    <w:name w:val="Table Normal"/>
    <w:semiHidden/>
    <w:unhideWhenUsed/>
    <w:qFormat/>
    <w:tblPr>
      <w:tblCellMar>
        <w:left w:w="0" w:type="dxa"/>
        <w:top w:w="0" w:type="dxa"/>
        <w:right w:w="0" w:type="dxa"/>
        <w:bottom w:w="0" w:type="dxa"/>
      </w:tblCellMar>
    </w:tblPr>
  </w:style>
  <w:style w:type="paragraph" w:styleId="1042" w:customStyle="1">
    <w:name w:val="样式 首行缩进:  2 字符"/>
    <w:basedOn w:val="811"/>
    <w:link w:val="1043"/>
    <w:qFormat/>
    <w:pPr>
      <w:ind w:firstLine="480"/>
      <w:spacing w:line="360" w:lineRule="auto"/>
    </w:pPr>
    <w:rPr>
      <w:rFonts w:eastAsia="宋体"/>
      <w:sz w:val="24"/>
    </w:rPr>
  </w:style>
  <w:style w:type="character" w:styleId="1043" w:customStyle="1">
    <w:name w:val="样式 首行缩进:  2 字符 Char Char"/>
    <w:link w:val="1042"/>
    <w:qFormat/>
    <w:rPr>
      <w:sz w:val="24"/>
    </w:rPr>
  </w:style>
  <w:style w:type="character" w:styleId="1044" w:customStyle="1">
    <w:name w:val="批注文字 字符"/>
    <w:basedOn w:val="821"/>
    <w:link w:val="828"/>
    <w:uiPriority w:val="99"/>
    <w:semiHidden/>
    <w:qFormat/>
    <w:rPr>
      <w:rFonts w:eastAsia="楷体_GB2312"/>
      <w:sz w:val="26"/>
    </w:rPr>
  </w:style>
  <w:style w:type="paragraph" w:styleId="1045" w:customStyle="1">
    <w:name w:val="Normal_17_1"/>
    <w:qFormat/>
    <w:pPr>
      <w:jc w:val="both"/>
      <w:widowControl w:val="off"/>
    </w:pPr>
    <w:rPr>
      <w:rFonts w:ascii="Calibri" w:hAnsi="Calibri"/>
      <w:sz w:val="21"/>
      <w:szCs w:val="22"/>
    </w:rPr>
  </w:style>
  <w:style w:type="paragraph" w:styleId="1046" w:customStyle="1">
    <w:name w:val="Normal_16_1"/>
    <w:qFormat/>
    <w:rPr>
      <w:rFonts w:ascii="宋体" w:hAnsi="宋体"/>
      <w:sz w:val="32"/>
      <w:szCs w:val="24"/>
    </w:rPr>
  </w:style>
  <w:style w:type="paragraph" w:styleId="1047" w:customStyle="1">
    <w:name w:val="正文_9_0_1"/>
    <w:qFormat/>
    <w:pPr>
      <w:jc w:val="both"/>
      <w:widowControl w:val="off"/>
    </w:pPr>
    <w:rPr>
      <w:rFonts w:ascii="Calibri" w:hAnsi="Calibri"/>
      <w:sz w:val="21"/>
      <w:szCs w:val="22"/>
    </w:rPr>
  </w:style>
  <w:style w:type="paragraph" w:styleId="1048" w:customStyle="1">
    <w:name w:val="正文_8_1_1"/>
    <w:qFormat/>
    <w:pPr>
      <w:jc w:val="both"/>
      <w:widowControl w:val="off"/>
    </w:pPr>
    <w:rPr>
      <w:rFonts w:ascii="Calibri" w:hAnsi="Calibri"/>
      <w:sz w:val="21"/>
      <w:szCs w:val="22"/>
    </w:rPr>
  </w:style>
  <w:style w:type="paragraph" w:styleId="1049" w:customStyle="1">
    <w:name w:val="正文_1_0_0_0_0_0"/>
    <w:qFormat/>
    <w:pPr>
      <w:jc w:val="both"/>
      <w:widowControl w:val="off"/>
    </w:pPr>
    <w:rPr>
      <w:sz w:val="21"/>
    </w:rPr>
  </w:style>
  <w:style w:type="paragraph" w:styleId="1050" w:customStyle="1">
    <w:name w:val="列出段落_2"/>
    <w:basedOn w:val="1048"/>
    <w:uiPriority w:val="34"/>
    <w:qFormat/>
    <w:pPr>
      <w:ind w:firstLine="420"/>
    </w:pPr>
  </w:style>
  <w:style w:type="paragraph" w:styleId="1051" w:customStyle="1">
    <w:name w:val="Other|1"/>
    <w:basedOn w:val="811"/>
    <w:qFormat/>
    <w:rPr>
      <w:rFonts w:ascii="宋体" w:hAnsi="宋体" w:eastAsia="宋体" w:cs="宋体"/>
      <w:sz w:val="21"/>
      <w:lang w:val="zh-TW" w:eastAsia="zh-TW" w:bidi="zh-TW"/>
    </w:rPr>
  </w:style>
  <w:style w:type="character" w:styleId="1052" w:customStyle="1">
    <w:name w:val="HTML 预设格式 字符"/>
    <w:basedOn w:val="821"/>
    <w:link w:val="850"/>
    <w:uiPriority w:val="99"/>
    <w:semiHidden/>
    <w:qFormat/>
    <w:rPr>
      <w:rFonts w:ascii="Courier New" w:hAnsi="Courier New" w:eastAsia="楷体_GB2312" w:cs="Courier New"/>
    </w:rPr>
  </w:style>
  <w:style w:type="character" w:styleId="1053" w:customStyle="1">
    <w:name w:val="正文文本 字符"/>
    <w:basedOn w:val="821"/>
    <w:link w:val="824"/>
    <w:uiPriority w:val="99"/>
    <w:qFormat/>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A880C1-FA8C-4BE8-8DFB-045E676D0E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10</cp:revision>
  <dcterms:created xsi:type="dcterms:W3CDTF">2026-09-22T09:12:00Z</dcterms:created>
  <dcterms:modified xsi:type="dcterms:W3CDTF">2026-09-29T08:55:06Z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7033B05C256F43C29A7C94C5A5B8F603_13</vt:lpwstr>
  </property>
  <property fmtid="{D5CDD505-2E9C-101B-9397-08002B2CF9AE}" pid="4" name="KSOTemplateDocerSaveRecord">
    <vt:lpwstr>eyJoZGlkIjoiYzZhMjFhMTlhYmQ5YTQ5ZGMzNGE4NTg3MmYzNWNlYjIiLCJ1c2VySWQiOiIxMTU2NDM3ODYyIn0=</vt:lpwstr>
  </property>
</Properties>
</file>