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JSZC-321200-HWZX-G2026-0585</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0675-266JOC003945</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项目名称：电子支气管镜系统</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人：泰州市卫生健康委员会</w:t>
      </w:r>
      <w:r/>
    </w:p>
    <w:p>
      <w:pPr>
        <w:pStyle w:val="862"/>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hint="eastAsia" w:cs="仿宋" w:asciiTheme="minorEastAsia" w:hAnsiTheme="minorEastAsia" w:eastAsiaTheme="minorEastAsia"/>
          <w:b/>
          <w:color w:val="000000" w:themeColor="text1"/>
          <w:sz w:val="28"/>
          <w:szCs w:val="28"/>
        </w:rPr>
        <w:t xml:space="preserve">10</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电子支气管镜系统</w:t>
      </w:r>
      <w:r>
        <w:rPr>
          <w:rFonts w:hint="eastAsia" w:cs="仿宋" w:asciiTheme="minorEastAsia" w:hAnsiTheme="minorEastAsia" w:eastAsiaTheme="minorEastAsia"/>
          <w:color w:val="000000" w:themeColor="text1"/>
          <w:sz w:val="24"/>
          <w:szCs w:val="24"/>
        </w:rPr>
        <w:t xml:space="preserve">招标项目的潜在投标</w:t>
      </w:r>
      <w:r>
        <w:rPr>
          <w:rFonts w:hint="eastAsia" w:cs="仿宋" w:asciiTheme="minorEastAsia" w:hAnsiTheme="minorEastAsia" w:eastAsiaTheme="minorEastAsia"/>
          <w:color w:val="000000" w:themeColor="text1"/>
          <w:sz w:val="24"/>
          <w:szCs w:val="24"/>
        </w:rPr>
        <w:t xml:space="preserve">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66"/>
            <w:rFonts w:hint="eastAsia" w:cs="仿宋" w:asciiTheme="minorEastAsia" w:hAnsiTheme="minorEastAsia" w:eastAsiaTheme="minorEastAsia"/>
            <w:color w:val="000000" w:themeColor="text1"/>
            <w:sz w:val="24"/>
            <w:szCs w:val="24"/>
            <w:u w:val="none"/>
          </w:rPr>
          <w:t xml:space="preserve">，并于</w:t>
        </w:r>
        <w:r>
          <w:rPr>
            <w:rStyle w:val="866"/>
            <w:rFonts w:hint="eastAsia" w:cs="仿宋" w:asciiTheme="minorEastAsia" w:hAnsiTheme="minorEastAsia" w:eastAsiaTheme="minorEastAsia"/>
            <w:color w:val="000000" w:themeColor="text1"/>
            <w:sz w:val="24"/>
            <w:szCs w:val="24"/>
          </w:rPr>
          <w:t xml:space="preserve">2026年</w:t>
        </w:r>
        <w:r>
          <w:rPr>
            <w:rStyle w:val="866"/>
            <w:rFonts w:cs="仿宋" w:asciiTheme="minorEastAsia" w:hAnsiTheme="minorEastAsia" w:eastAsiaTheme="minorEastAsia"/>
            <w:color w:val="000000" w:themeColor="text1"/>
            <w:sz w:val="24"/>
            <w:szCs w:val="24"/>
          </w:rPr>
          <w:t xml:space="preserve">10</w:t>
        </w:r>
        <w:r>
          <w:rPr>
            <w:rStyle w:val="866"/>
            <w:rFonts w:hint="eastAsia" w:cs="仿宋" w:asciiTheme="minorEastAsia" w:hAnsiTheme="minorEastAsia" w:eastAsiaTheme="minorEastAsia"/>
            <w:color w:val="000000" w:themeColor="text1"/>
            <w:sz w:val="24"/>
            <w:szCs w:val="24"/>
          </w:rPr>
          <w:t xml:space="preserve">月</w:t>
        </w:r>
      </w:hyperlink>
      <w:r>
        <w:rPr>
          <w:rStyle w:val="866"/>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u w:val="single"/>
        </w:rPr>
        <w:t xml:space="preserve">日1</w:t>
      </w:r>
      <w:r>
        <w:rPr>
          <w:rFonts w:cs="仿宋" w:asciiTheme="minorEastAsia" w:hAnsiTheme="minorEastAsia" w:eastAsiaTheme="minorEastAsia"/>
          <w:color w:val="000000" w:themeColor="text1"/>
          <w:sz w:val="24"/>
          <w:szCs w:val="24"/>
          <w:u w:val="single"/>
        </w:rPr>
        <w:t xml:space="preserve">5</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JSZC-321200-HWZX-G2026-0585</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0675-266JOC003945</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电子支气管镜系统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700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700</w:t>
      </w:r>
      <w:r>
        <w:rPr>
          <w:rFonts w:hint="eastAsia" w:cs="仿宋" w:asciiTheme="minorEastAsia" w:hAnsiTheme="minorEastAsia" w:eastAsiaTheme="minorEastAsia"/>
          <w:color w:val="000000" w:themeColor="text1"/>
          <w:sz w:val="24"/>
          <w:szCs w:val="24"/>
        </w:rPr>
        <w:t xml:space="preserve">万元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9"/>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5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电子支气管镜系统</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1批</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700</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bCs/>
          <w:sz w:val="24"/>
          <w:szCs w:val="24"/>
        </w:rPr>
      </w:pPr>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19" w:name="OLE_LINK1"/>
      <w:r>
        <w:rPr>
          <w:rFonts w:hint="eastAsia" w:ascii="宋体" w:hAnsi="宋体" w:eastAsia="宋体"/>
          <w:bCs/>
          <w:sz w:val="24"/>
          <w:szCs w:val="24"/>
        </w:rPr>
        <w:t xml:space="preserve">/</w:t>
      </w:r>
      <w:bookmarkEnd w:id="19"/>
      <w:r>
        <w:rPr>
          <w:rFonts w:hint="eastAsia" w:ascii="宋体" w:hAnsi="宋体" w:eastAsia="宋体"/>
          <w:bCs/>
          <w:sz w:val="24"/>
          <w:szCs w:val="24"/>
        </w:rPr>
        <w:t xml:space="preserve">医疗器械备案凭证；</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w:t>
      </w:r>
      <w:r>
        <w:rPr>
          <w:rFonts w:hint="eastAsia" w:cs="仿宋" w:asciiTheme="minorEastAsia" w:hAnsiTheme="minorEastAsia" w:eastAsiaTheme="minorEastAsia"/>
          <w:color w:val="000000" w:themeColor="text1"/>
          <w:sz w:val="24"/>
          <w:szCs w:val="24"/>
        </w:rPr>
        <w:t xml:space="preserve">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w:t>
      </w:r>
      <w:r>
        <w:rPr>
          <w:rFonts w:hint="eastAsia" w:cs="仿宋" w:asciiTheme="minorEastAsia" w:hAnsiTheme="minorEastAsia" w:eastAsiaTheme="minorEastAsia"/>
          <w:color w:val="000000" w:themeColor="text1"/>
          <w:sz w:val="24"/>
          <w:szCs w:val="24"/>
        </w:rPr>
        <w:t xml:space="preserve">述要求操作，将自行承担所产生的风险。</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w:t>
      </w:r>
      <w:r>
        <w:rPr>
          <w:rFonts w:hint="eastAsia" w:cs="仿宋" w:asciiTheme="minorEastAsia" w:hAnsiTheme="minorEastAsia" w:eastAsiaTheme="minorEastAsia"/>
          <w:color w:val="000000" w:themeColor="text1"/>
          <w:sz w:val="24"/>
          <w:szCs w:val="24"/>
        </w:rPr>
        <w:t xml:space="preserve">工作日。</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22"/>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称：泰州市卫生健康委员会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r>
        <w:rPr>
          <w:rFonts w:hint="eastAsia" w:asciiTheme="minorEastAsia" w:hAnsiTheme="minorEastAsia" w:eastAsiaTheme="minorEastAsia"/>
          <w:spacing w:val="8"/>
          <w:sz w:val="24"/>
          <w:szCs w:val="24"/>
          <w:lang w:val="zh-CN"/>
        </w:rPr>
        <w:t xml:space="preserve">胡女士  0</w:t>
      </w:r>
      <w:r>
        <w:rPr>
          <w:rFonts w:asciiTheme="minorEastAsia" w:hAnsiTheme="minorEastAsia" w:eastAsiaTheme="minorEastAsia"/>
          <w:spacing w:val="8"/>
          <w:sz w:val="24"/>
          <w:szCs w:val="24"/>
          <w:lang w:val="zh-CN"/>
        </w:rPr>
        <w:t xml:space="preserve">523-86898382</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电子支气管镜系统</w:t>
            </w:r>
            <w:r/>
          </w:p>
        </w:tc>
      </w:tr>
      <w:tr>
        <w:trPr>
          <w:jc w:val="center"/>
          <w:trHeight w:val="543"/>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合同签订后60个工作日内完成交货、安装、调试及验收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预算金额：7</w:t>
            </w:r>
            <w:r>
              <w:rPr>
                <w:rFonts w:cs="仿宋" w:asciiTheme="minorEastAsia" w:hAnsiTheme="minorEastAsia" w:eastAsiaTheme="minorEastAsia"/>
                <w:iCs/>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最高限价：7</w:t>
            </w:r>
            <w:r>
              <w:rPr>
                <w:rFonts w:cs="仿宋" w:asciiTheme="minorEastAsia" w:hAnsiTheme="minorEastAsia" w:eastAsiaTheme="minorEastAsia"/>
                <w:iCs/>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27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时00分</w:t>
            </w:r>
            <w:r/>
          </w:p>
        </w:tc>
      </w:tr>
      <w:tr>
        <w:trPr>
          <w:cantSplit/>
          <w:jc w:val="center"/>
          <w:trHeight w:val="535"/>
        </w:trPr>
        <w:tc>
          <w:tcPr>
            <w:tcW w:w="735"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时00分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9"/>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5"/>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w:t>
            </w:r>
            <w:r>
              <w:rPr>
                <w:rFonts w:hint="eastAsia" w:cs="仿宋" w:asciiTheme="minorEastAsia" w:hAnsiTheme="minorEastAsia" w:eastAsiaTheme="minorEastAsia"/>
                <w:color w:val="000000" w:themeColor="text1"/>
                <w:sz w:val="24"/>
                <w:szCs w:val="24"/>
              </w:rPr>
              <w:t xml:space="preserve">费</w:t>
            </w:r>
            <w:r/>
          </w:p>
        </w:tc>
        <w:tc>
          <w:tcPr>
            <w:tcW w:w="6166" w:type="dxa"/>
            <w:textDirection w:val="lrTb"/>
            <w:noWrap w:val="false"/>
          </w:tcPr>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本项目由泰州市卫健委组织实施集中统一采购，最终</w:t>
            </w:r>
            <w:r>
              <w:rPr>
                <w:rFonts w:hint="eastAsia" w:cs="仿宋" w:asciiTheme="minorEastAsia" w:hAnsiTheme="minorEastAsia" w:eastAsiaTheme="minorEastAsia"/>
                <w:bCs/>
                <w:color w:val="000000" w:themeColor="text1"/>
                <w:szCs w:val="24"/>
              </w:rPr>
              <w:t xml:space="preserve">用户为各县域医共体单位，资金支付方为各县域医共体单位，因此本项目不适宜由采购人支付代理服务费。领取中标通知书前，由中标供应商需</w:t>
            </w:r>
            <w:bookmarkStart w:id="35" w:name="_Hlk144458186"/>
            <w:r>
              <w:rPr>
                <w:rFonts w:hint="eastAsia" w:cs="仿宋" w:asciiTheme="minorEastAsia" w:hAnsiTheme="minorEastAsia" w:eastAsiaTheme="minorEastAsia"/>
                <w:color w:val="000000" w:themeColor="text1"/>
                <w:szCs w:val="24"/>
              </w:rPr>
              <w:t xml:space="preserve">按照江苏省政府采购协会《关于</w:t>
            </w:r>
            <w:r>
              <w:rPr>
                <w:rFonts w:hint="eastAsia" w:cs="仿宋" w:asciiTheme="minorEastAsia" w:hAnsiTheme="minorEastAsia" w:eastAsiaTheme="minorEastAsia"/>
                <w:color w:val="000000" w:themeColor="text1"/>
                <w:szCs w:val="24"/>
              </w:rPr>
              <w:t xml:space="preserve">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5"/>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945</w:t>
            </w:r>
            <w:r>
              <w:rPr>
                <w:rFonts w:hint="eastAsia" w:cs="仿宋" w:asciiTheme="minorEastAsia" w:hAnsiTheme="minorEastAsia" w:eastAsiaTheme="minorEastAsia"/>
                <w:bCs/>
                <w:color w:val="000000" w:themeColor="text1"/>
                <w:szCs w:val="24"/>
              </w:rPr>
              <w:t xml:space="preserve">代理服</w:t>
            </w:r>
            <w:r>
              <w:rPr>
                <w:rFonts w:hint="eastAsia" w:cs="仿宋" w:asciiTheme="minorEastAsia" w:hAnsiTheme="minorEastAsia" w:eastAsiaTheme="minorEastAsia"/>
                <w:bCs/>
                <w:color w:val="000000" w:themeColor="text1"/>
                <w:szCs w:val="24"/>
              </w:rPr>
              <w:t xml:space="preserve">务费。</w:t>
            </w:r>
            <w:r/>
          </w:p>
          <w:p>
            <w:pPr>
              <w:pStyle w:val="1025"/>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25"/>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w:t>
            </w:r>
            <w:r>
              <w:rPr>
                <w:rFonts w:hint="eastAsia" w:cs="仿宋" w:asciiTheme="minorEastAsia" w:hAnsiTheme="minorEastAsia" w:eastAsiaTheme="minorEastAsia"/>
                <w:color w:val="000000" w:themeColor="text1"/>
                <w:szCs w:val="24"/>
              </w:rPr>
              <w:t xml:space="preserve">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5"/>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w:t>
      </w:r>
      <w:r>
        <w:rPr>
          <w:rFonts w:hint="eastAsia" w:cs="仿宋" w:asciiTheme="minorEastAsia" w:hAnsiTheme="minorEastAsia" w:eastAsiaTheme="minorEastAsia"/>
          <w:color w:val="000000" w:themeColor="text1"/>
          <w:sz w:val="24"/>
          <w:szCs w:val="24"/>
        </w:rPr>
        <w:t xml:space="preserve">标文件可能引起的对投标人不利的后果，招标采购单位概不负责。</w:t>
      </w:r>
      <w:r/>
    </w:p>
    <w:p>
      <w:pPr>
        <w:pStyle w:val="1024"/>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6" w:name="_Toc217446047"/>
      <w:r>
        <w:rPr>
          <w:rFonts w:hint="eastAsia" w:cs="仿宋" w:asciiTheme="minorEastAsia" w:hAnsiTheme="minorEastAsia" w:eastAsiaTheme="minorEastAsia"/>
          <w:b/>
          <w:color w:val="000000" w:themeColor="text1"/>
          <w:sz w:val="24"/>
          <w:szCs w:val="24"/>
        </w:rPr>
        <w:t xml:space="preserve">2.知识产权</w:t>
      </w:r>
      <w:bookmarkEnd w:id="36"/>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t>
      </w:r>
      <w:r>
        <w:rPr>
          <w:rFonts w:hint="eastAsia" w:cs="仿宋" w:asciiTheme="minorEastAsia" w:hAnsiTheme="minorEastAsia" w:eastAsiaTheme="minorEastAsia"/>
          <w:color w:val="000000" w:themeColor="text1"/>
          <w:sz w:val="24"/>
          <w:szCs w:val="24"/>
        </w:rPr>
        <w:t xml:space="preserve">(www.ccgp.gov.cn)政府采购严重违法失信行为记录名单（网页截图）。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5"/>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15.1投标人对《开标一览表》中的全部货物的报价应包括包装、运输装卸、就位安装调试、第三方检测、防护评价、计量检定、培训、税费、售后等全部报价。</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9"/>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w:t>
      </w:r>
      <w:r>
        <w:rPr>
          <w:rFonts w:hint="eastAsia" w:cs="仿宋" w:asciiTheme="minorEastAsia" w:hAnsiTheme="minorEastAsia" w:eastAsiaTheme="minorEastAsia"/>
          <w:color w:val="000000" w:themeColor="text1"/>
          <w:sz w:val="24"/>
          <w:szCs w:val="24"/>
        </w:rPr>
        <w:t xml:space="preserve">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w:t>
      </w:r>
      <w:r>
        <w:rPr>
          <w:rFonts w:hint="eastAsia" w:cs="仿宋" w:asciiTheme="minorEastAsia" w:hAnsiTheme="minorEastAsia" w:eastAsiaTheme="minorEastAsia"/>
          <w:color w:val="000000" w:themeColor="text1"/>
          <w:sz w:val="24"/>
          <w:szCs w:val="24"/>
        </w:rPr>
        <w:t xml:space="preserve">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w:t>
      </w:r>
      <w:r>
        <w:rPr>
          <w:rFonts w:hint="eastAsia" w:cs="仿宋" w:asciiTheme="minorEastAsia" w:hAnsiTheme="minorEastAsia" w:eastAsiaTheme="minorEastAsia"/>
          <w:color w:val="000000" w:themeColor="text1"/>
          <w:sz w:val="24"/>
          <w:szCs w:val="24"/>
        </w:rPr>
        <w:t xml:space="preserve">标的。</w:t>
      </w:r>
      <w:r/>
    </w:p>
    <w:p>
      <w:pPr>
        <w:ind w:left="485" w:firstLine="85"/>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6.关于异常低价的审查</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（2）中标人应按规定提交履约保证金。</w:t>
      </w:r>
      <w:r/>
    </w:p>
    <w:p>
      <w:pPr>
        <w:pStyle w:val="1025"/>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1.中标人必须在合同签订前按规定将履约保证金交至采购人指定账户。中标人未按上述要求提交履约保证金的,采购人可取消其中标资格。</w:t>
      </w:r>
      <w:r/>
    </w:p>
    <w:p>
      <w:pPr>
        <w:pStyle w:val="1025"/>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5"/>
        <w:ind w:firstLine="431"/>
        <w:jc w:val="both"/>
        <w:spacing w:line="360" w:lineRule="auto"/>
        <w:rPr>
          <w:rFonts w:hint="eastAsia" w:cs="仿宋" w:asciiTheme="minorEastAsia" w:hAnsiTheme="minorEastAsia" w:eastAsiaTheme="minorEastAsia"/>
          <w:color w:val="000000" w:themeColor="text1"/>
          <w:szCs w:val="24"/>
        </w:rPr>
      </w:pPr>
      <w:r/>
      <w:bookmarkStart w:id="37"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我市已正式启用“苏采云”系统，目前已全面开通政府采购线上合同信用融资（以下简称“政采贷”）功能。成交供应商可凭政府采购合同在中征平台发起贷款申请贷款。</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5"/>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w:t>
      </w:r>
      <w:r>
        <w:rPr>
          <w:rFonts w:hint="eastAsia" w:cs="仿宋" w:asciiTheme="minorEastAsia" w:hAnsiTheme="minorEastAsia" w:eastAsiaTheme="minorEastAsia"/>
          <w:color w:val="000000" w:themeColor="text1"/>
          <w:szCs w:val="24"/>
        </w:rPr>
        <w:t xml:space="preserve">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5"/>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8" w:name="_Toc388026586"/>
      <w:r/>
      <w:bookmarkEnd w:id="37"/>
      <w:r/>
      <w:r/>
    </w:p>
    <w:p>
      <w:pPr>
        <w:pStyle w:val="1025"/>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38"/>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hint="eastAsia" w:ascii="宋体" w:hAnsi="宋体" w:eastAsia="宋体"/>
          <w:b/>
          <w:sz w:val="28"/>
          <w:szCs w:val="28"/>
        </w:rPr>
      </w:pPr>
      <w:r/>
      <w:bookmarkStart w:id="39" w:name="_Toc388026588"/>
      <w:r/>
      <w:bookmarkStart w:id="40"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9"/>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1"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电子支气管镜系统 </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1批</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bookmarkEnd w:id="41"/>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3"/>
        <w:gridCol w:w="3313"/>
        <w:gridCol w:w="1864"/>
      </w:tblGrid>
      <w:tr>
        <w:trPr>
          <w:jc w:val="center"/>
          <w:trHeight w:val="934"/>
        </w:trPr>
        <w:tc>
          <w:tcPr>
            <w:tcW w:w="187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医共体名称</w:t>
            </w:r>
            <w:r/>
          </w:p>
        </w:tc>
        <w:tc>
          <w:tcPr>
            <w:tcW w:w="199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187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靖江市中医院医共体</w:t>
            </w:r>
            <w:r/>
          </w:p>
        </w:tc>
        <w:tc>
          <w:tcPr>
            <w:tcW w:w="199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靖江市中医院</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cs="宋体"/>
                <w:sz w:val="24"/>
                <w:szCs w:val="24"/>
              </w:rPr>
              <w:t xml:space="preserve">1套</w:t>
            </w:r>
            <w:r/>
          </w:p>
        </w:tc>
      </w:tr>
      <w:tr>
        <w:trPr>
          <w:jc w:val="center"/>
          <w:trHeight w:val="934"/>
        </w:trPr>
        <w:tc>
          <w:tcPr>
            <w:tcW w:w="187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泰兴市中医院医共体</w:t>
            </w:r>
            <w:r/>
          </w:p>
        </w:tc>
        <w:tc>
          <w:tcPr>
            <w:tcW w:w="199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泰兴市中医院</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cs="宋体"/>
                <w:sz w:val="24"/>
                <w:szCs w:val="24"/>
              </w:rPr>
              <w:t xml:space="preserve">1套</w:t>
            </w:r>
            <w:r/>
          </w:p>
        </w:tc>
      </w:tr>
      <w:tr>
        <w:trPr>
          <w:jc w:val="center"/>
          <w:trHeight w:val="934"/>
        </w:trPr>
        <w:tc>
          <w:tcPr>
            <w:tcW w:w="187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兴化市人民医院医共体</w:t>
            </w:r>
            <w:r/>
          </w:p>
        </w:tc>
        <w:tc>
          <w:tcPr>
            <w:tcW w:w="1998"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兴化市人民医院</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cs="宋体"/>
                <w:sz w:val="24"/>
                <w:szCs w:val="24"/>
              </w:rPr>
              <w:t xml:space="preserve">1套</w:t>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jc w:val="center"/>
        <w:spacing w:line="340" w:lineRule="exact"/>
        <w:rPr>
          <w:rFonts w:hint="eastAsia" w:ascii="宋体" w:hAnsi="宋体" w:eastAsia="宋体" w:cs="宋体"/>
          <w:sz w:val="31"/>
        </w:rPr>
      </w:pPr>
      <w:r>
        <w:rPr>
          <w:rFonts w:ascii="宋体" w:hAnsi="宋体" w:eastAsia="宋体" w:cs="宋体"/>
          <w:sz w:val="31"/>
        </w:rPr>
        <w:br w:type="page" w:clear="all"/>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配置需求清单</w:t>
      </w:r>
      <w:r/>
    </w:p>
    <w:p>
      <w:pPr>
        <w:jc w:val="center"/>
        <w:spacing w:line="360" w:lineRule="auto"/>
        <w:rPr>
          <w:rFonts w:hint="eastAsia" w:ascii="宋体" w:hAnsi="宋体" w:eastAsia="宋体" w:cs="仿宋"/>
          <w:b/>
          <w:bCs/>
          <w:color w:val="000000" w:themeColor="text1"/>
          <w:sz w:val="24"/>
          <w:szCs w:val="24"/>
        </w:rPr>
      </w:pPr>
      <w:r>
        <w:rPr>
          <w:rFonts w:hint="eastAsia" w:asciiTheme="minorEastAsia" w:hAnsiTheme="minorEastAsia" w:eastAsiaTheme="minorEastAsia"/>
          <w:b/>
          <w:sz w:val="24"/>
          <w:szCs w:val="24"/>
        </w:rPr>
        <w:t xml:space="preserve">投标人需在投标时，根据以下配置情况，在分项报价表中对三套配置进行单独报价，否则视为无效投标</w:t>
      </w:r>
      <w:r/>
    </w:p>
    <w:p>
      <w:pPr>
        <w:jc w:val="center"/>
        <w:spacing w:line="360" w:lineRule="auto"/>
        <w:rPr>
          <w:rFonts w:hint="eastAsia" w:ascii="宋体" w:hAnsi="宋体" w:eastAsia="宋体" w:cs="仿宋"/>
          <w:b/>
          <w:bCs/>
          <w:color w:val="000000" w:themeColor="text1"/>
          <w:sz w:val="28"/>
          <w:szCs w:val="28"/>
        </w:rPr>
      </w:pPr>
      <w:r>
        <w:rPr>
          <w:rFonts w:hint="eastAsia" w:ascii="宋体" w:hAnsi="宋体" w:eastAsia="宋体" w:cs="仿宋"/>
          <w:b/>
          <w:bCs/>
          <w:color w:val="000000" w:themeColor="text1"/>
          <w:sz w:val="28"/>
          <w:szCs w:val="28"/>
        </w:rPr>
        <w:t xml:space="preserve">品目一：配置清单（</w:t>
      </w:r>
      <w:r>
        <w:rPr>
          <w:rFonts w:hint="eastAsia" w:ascii="宋体" w:hAnsi="宋体" w:eastAsia="宋体" w:cs="仿宋"/>
          <w:b/>
          <w:bCs/>
          <w:color w:val="000000" w:themeColor="text1"/>
          <w:sz w:val="28"/>
          <w:szCs w:val="28"/>
        </w:rPr>
        <w:t xml:space="preserve">最高限价：</w:t>
      </w:r>
      <w:r>
        <w:rPr>
          <w:rFonts w:hint="eastAsia" w:ascii="宋体" w:hAnsi="宋体" w:eastAsia="宋体" w:cs="仿宋"/>
          <w:b/>
          <w:bCs/>
          <w:color w:val="000000" w:themeColor="text1"/>
          <w:sz w:val="28"/>
          <w:szCs w:val="28"/>
        </w:rPr>
        <w:t xml:space="preserve">350万元）</w:t>
      </w:r>
      <w:r/>
    </w:p>
    <w:p>
      <w:pPr>
        <w:spacing w:line="360" w:lineRule="auto"/>
        <w:rPr>
          <w:rFonts w:hint="eastAsia" w:ascii="宋体" w:hAnsi="宋体" w:eastAsia="宋体"/>
          <w:sz w:val="12"/>
        </w:rPr>
      </w:pPr>
      <w:r>
        <w:rPr>
          <w:rFonts w:hint="eastAsia" w:ascii="宋体" w:hAnsi="宋体" w:eastAsia="宋体"/>
          <w:sz w:val="12"/>
        </w:rPr>
      </w:r>
      <w:r/>
    </w:p>
    <w:tbl>
      <w:tblPr>
        <w:tblW w:w="5000" w:type="pct"/>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1002"/>
        <w:gridCol w:w="3309"/>
        <w:gridCol w:w="1970"/>
        <w:gridCol w:w="2009"/>
      </w:tblGrid>
      <w:tr>
        <w:trPr>
          <w:trHeight w:val="440"/>
        </w:trPr>
        <w:tc>
          <w:tcPr>
            <w:tcBorders>
              <w:top w:val="single" w:color="000000" w:sz="4" w:space="0"/>
              <w:left w:val="single" w:color="000000" w:sz="4" w:space="0"/>
              <w:bottom w:val="single" w:color="000000" w:sz="4" w:space="0"/>
              <w:right w:val="single" w:color="000000" w:sz="4" w:space="0"/>
            </w:tcBorders>
            <w:tcW w:w="604"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96"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188"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12"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w:t>
            </w:r>
            <w:r/>
          </w:p>
        </w:tc>
      </w:tr>
      <w:tr>
        <w:trPr>
          <w:trHeight w:val="353"/>
        </w:trPr>
        <w:tc>
          <w:tcPr>
            <w:tcBorders>
              <w:top w:val="single" w:color="000000" w:sz="4" w:space="0"/>
              <w:left w:val="single" w:color="000000" w:sz="4" w:space="0"/>
              <w:bottom w:val="single" w:color="000000" w:sz="4" w:space="0"/>
              <w:right w:val="single" w:color="000000" w:sz="4" w:space="0"/>
            </w:tcBorders>
            <w:tcW w:w="604"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96"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图像处理装置及冷光源</w:t>
            </w:r>
            <w:r/>
          </w:p>
        </w:tc>
        <w:tc>
          <w:tcPr>
            <w:tcBorders>
              <w:top w:val="single" w:color="000000" w:sz="4" w:space="0"/>
              <w:left w:val="single" w:color="000000" w:sz="4" w:space="0"/>
              <w:bottom w:val="single" w:color="000000" w:sz="4" w:space="0"/>
              <w:right w:val="single" w:color="000000" w:sz="4" w:space="0"/>
            </w:tcBorders>
            <w:tcW w:w="1188"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12"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套</w:t>
            </w:r>
            <w:r/>
          </w:p>
        </w:tc>
      </w:tr>
      <w:tr>
        <w:trPr>
          <w:trHeight w:val="320"/>
        </w:trPr>
        <w:tc>
          <w:tcPr>
            <w:tcBorders>
              <w:top w:val="single" w:color="000000" w:sz="4" w:space="0"/>
              <w:left w:val="single" w:color="000000" w:sz="4" w:space="0"/>
              <w:bottom w:val="single" w:color="000000" w:sz="4" w:space="0"/>
              <w:right w:val="single" w:color="000000" w:sz="4" w:space="0"/>
            </w:tcBorders>
            <w:tcW w:w="604"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96"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治疗型电子支气管镜</w:t>
            </w:r>
            <w:r/>
          </w:p>
        </w:tc>
        <w:tc>
          <w:tcPr>
            <w:tcBorders>
              <w:top w:val="single" w:color="000000" w:sz="4" w:space="0"/>
              <w:left w:val="single" w:color="000000" w:sz="4" w:space="0"/>
              <w:bottom w:val="single" w:color="000000" w:sz="4" w:space="0"/>
              <w:right w:val="single" w:color="000000" w:sz="4" w:space="0"/>
            </w:tcBorders>
            <w:tcW w:w="1188"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12"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根</w:t>
            </w:r>
            <w:r/>
          </w:p>
        </w:tc>
      </w:tr>
      <w:tr>
        <w:trPr>
          <w:trHeight w:val="340"/>
        </w:trPr>
        <w:tc>
          <w:tcPr>
            <w:tcBorders>
              <w:top w:val="single" w:color="000000" w:sz="4" w:space="0"/>
              <w:left w:val="single" w:color="000000" w:sz="4" w:space="0"/>
              <w:bottom w:val="single" w:color="000000" w:sz="4" w:space="0"/>
              <w:right w:val="single" w:color="000000" w:sz="4" w:space="0"/>
            </w:tcBorders>
            <w:tcW w:w="604"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96"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监视器</w:t>
            </w:r>
            <w:r/>
          </w:p>
        </w:tc>
        <w:tc>
          <w:tcPr>
            <w:tcBorders>
              <w:top w:val="single" w:color="000000" w:sz="4" w:space="0"/>
              <w:left w:val="single" w:color="000000" w:sz="4" w:space="0"/>
              <w:bottom w:val="single" w:color="000000" w:sz="4" w:space="0"/>
              <w:right w:val="single" w:color="000000" w:sz="4" w:space="0"/>
            </w:tcBorders>
            <w:tcW w:w="1188"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12"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台</w:t>
            </w:r>
            <w:r/>
          </w:p>
        </w:tc>
      </w:tr>
      <w:tr>
        <w:trPr>
          <w:trHeight w:val="320"/>
        </w:trPr>
        <w:tc>
          <w:tcPr>
            <w:tcBorders>
              <w:top w:val="single" w:color="000000" w:sz="4" w:space="0"/>
              <w:left w:val="single" w:color="000000" w:sz="4" w:space="0"/>
              <w:bottom w:val="single" w:color="000000" w:sz="4" w:space="0"/>
              <w:right w:val="single" w:color="000000" w:sz="4" w:space="0"/>
            </w:tcBorders>
            <w:tcW w:w="604"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96"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台车</w:t>
            </w:r>
            <w:r/>
          </w:p>
        </w:tc>
        <w:tc>
          <w:tcPr>
            <w:tcBorders>
              <w:top w:val="single" w:color="000000" w:sz="4" w:space="0"/>
              <w:left w:val="single" w:color="000000" w:sz="4" w:space="0"/>
              <w:bottom w:val="single" w:color="000000" w:sz="4" w:space="0"/>
              <w:right w:val="single" w:color="000000" w:sz="4" w:space="0"/>
            </w:tcBorders>
            <w:tcW w:w="1188"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12"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台</w:t>
            </w:r>
            <w:r/>
          </w:p>
        </w:tc>
      </w:tr>
      <w:tr>
        <w:trPr>
          <w:trHeight w:val="320"/>
        </w:trPr>
        <w:tc>
          <w:tcPr>
            <w:tcBorders>
              <w:top w:val="single" w:color="000000" w:sz="4" w:space="0"/>
              <w:left w:val="single" w:color="000000" w:sz="4" w:space="0"/>
              <w:bottom w:val="single" w:color="000000" w:sz="4" w:space="0"/>
              <w:right w:val="single" w:color="000000" w:sz="4" w:space="0"/>
            </w:tcBorders>
            <w:tcW w:w="604"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96"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超声图像处理装置</w:t>
            </w:r>
            <w:r/>
          </w:p>
        </w:tc>
        <w:tc>
          <w:tcPr>
            <w:tcBorders>
              <w:top w:val="single" w:color="000000" w:sz="4" w:space="0"/>
              <w:left w:val="single" w:color="000000" w:sz="4" w:space="0"/>
              <w:bottom w:val="single" w:color="000000" w:sz="4" w:space="0"/>
              <w:right w:val="single" w:color="000000" w:sz="4" w:space="0"/>
            </w:tcBorders>
            <w:tcW w:w="1188"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12"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台</w:t>
            </w:r>
            <w:r/>
          </w:p>
        </w:tc>
      </w:tr>
      <w:tr>
        <w:trPr>
          <w:trHeight w:val="320"/>
        </w:trPr>
        <w:tc>
          <w:tcPr>
            <w:tcBorders>
              <w:top w:val="single" w:color="000000" w:sz="4" w:space="0"/>
              <w:left w:val="single" w:color="000000" w:sz="4" w:space="0"/>
              <w:bottom w:val="single" w:color="000000" w:sz="4" w:space="0"/>
              <w:right w:val="single" w:color="000000" w:sz="4" w:space="0"/>
            </w:tcBorders>
            <w:tcW w:w="604"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96"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超声电子支气管内窥镜</w:t>
            </w:r>
            <w:r/>
          </w:p>
        </w:tc>
        <w:tc>
          <w:tcPr>
            <w:tcBorders>
              <w:top w:val="single" w:color="000000" w:sz="4" w:space="0"/>
              <w:left w:val="single" w:color="000000" w:sz="4" w:space="0"/>
              <w:bottom w:val="single" w:color="000000" w:sz="4" w:space="0"/>
              <w:right w:val="single" w:color="000000" w:sz="4" w:space="0"/>
            </w:tcBorders>
            <w:tcW w:w="1188"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12"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根</w:t>
            </w:r>
            <w:r/>
          </w:p>
        </w:tc>
      </w:tr>
    </w:tbl>
    <w:p>
      <w:pPr>
        <w:spacing w:line="360" w:lineRule="auto"/>
        <w:rPr>
          <w:rFonts w:hint="eastAsia" w:ascii="宋体" w:hAnsi="宋体" w:eastAsia="宋体" w:cs="仿宋"/>
          <w:b/>
          <w:bCs/>
          <w:color w:val="000000" w:themeColor="text1"/>
          <w:sz w:val="28"/>
          <w:szCs w:val="28"/>
        </w:rPr>
      </w:pPr>
      <w:r>
        <w:rPr>
          <w:rFonts w:hint="eastAsia" w:ascii="宋体" w:hAnsi="宋体" w:eastAsia="宋体" w:cs="仿宋"/>
          <w:b/>
          <w:bCs/>
          <w:color w:val="000000" w:themeColor="text1"/>
          <w:sz w:val="28"/>
          <w:szCs w:val="28"/>
        </w:rPr>
      </w:r>
      <w:r/>
    </w:p>
    <w:p>
      <w:pPr>
        <w:jc w:val="center"/>
        <w:spacing w:line="360" w:lineRule="auto"/>
        <w:rPr>
          <w:rFonts w:hint="eastAsia" w:ascii="宋体" w:hAnsi="宋体" w:eastAsia="宋体" w:cs="仿宋"/>
          <w:b/>
          <w:bCs/>
          <w:color w:val="000000" w:themeColor="text1"/>
          <w:sz w:val="28"/>
          <w:szCs w:val="28"/>
        </w:rPr>
      </w:pPr>
      <w:r>
        <w:rPr>
          <w:rFonts w:hint="eastAsia" w:ascii="宋体" w:hAnsi="宋体" w:eastAsia="宋体" w:cs="仿宋"/>
          <w:b/>
          <w:bCs/>
          <w:color w:val="000000" w:themeColor="text1"/>
          <w:sz w:val="28"/>
          <w:szCs w:val="28"/>
        </w:rPr>
        <w:t xml:space="preserve">品目二：配置清单（</w:t>
      </w:r>
      <w:r>
        <w:rPr>
          <w:rFonts w:hint="eastAsia" w:ascii="宋体" w:hAnsi="宋体" w:eastAsia="宋体" w:cs="仿宋"/>
          <w:b/>
          <w:bCs/>
          <w:color w:val="000000" w:themeColor="text1"/>
          <w:sz w:val="28"/>
          <w:szCs w:val="28"/>
        </w:rPr>
        <w:t xml:space="preserve">最高限价：</w:t>
      </w:r>
      <w:r>
        <w:rPr>
          <w:rFonts w:hint="eastAsia" w:ascii="宋体" w:hAnsi="宋体" w:eastAsia="宋体" w:cs="仿宋"/>
          <w:b/>
          <w:bCs/>
          <w:color w:val="000000" w:themeColor="text1"/>
          <w:sz w:val="28"/>
          <w:szCs w:val="28"/>
        </w:rPr>
        <w:t xml:space="preserve">250万元）</w:t>
      </w:r>
      <w:r/>
    </w:p>
    <w:tbl>
      <w:tblPr>
        <w:tblpPr w:horzAnchor="page" w:tblpX="1833" w:vertAnchor="text" w:tblpY="154" w:leftFromText="180" w:topFromText="0" w:rightFromText="180" w:bottomFromText="0"/>
        <w:tblW w:w="5000" w:type="pct"/>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1000"/>
        <w:gridCol w:w="3165"/>
        <w:gridCol w:w="1812"/>
        <w:gridCol w:w="2313"/>
      </w:tblGrid>
      <w:tr>
        <w:trPr>
          <w:trHeight w:val="300"/>
        </w:trPr>
        <w:tc>
          <w:tcPr>
            <w:tcBorders>
              <w:top w:val="single" w:color="000000" w:sz="4" w:space="0"/>
              <w:left w:val="single" w:color="000000" w:sz="4" w:space="0"/>
              <w:bottom w:val="single" w:color="000000" w:sz="4" w:space="0"/>
              <w:right w:val="single" w:color="000000" w:sz="4" w:space="0"/>
            </w:tcBorders>
            <w:tcW w:w="60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09"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09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395"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w:t>
            </w:r>
            <w:r/>
          </w:p>
        </w:tc>
      </w:tr>
      <w:tr>
        <w:trPr>
          <w:trHeight w:val="320"/>
        </w:trPr>
        <w:tc>
          <w:tcPr>
            <w:tcBorders>
              <w:top w:val="single" w:color="000000" w:sz="4" w:space="0"/>
              <w:left w:val="single" w:color="000000" w:sz="4" w:space="0"/>
              <w:bottom w:val="single" w:color="000000" w:sz="4" w:space="0"/>
              <w:right w:val="single" w:color="000000" w:sz="4" w:space="0"/>
            </w:tcBorders>
            <w:tcW w:w="60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09"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图像处理装置及冷光源</w:t>
            </w:r>
            <w:r/>
          </w:p>
        </w:tc>
        <w:tc>
          <w:tcPr>
            <w:tcBorders>
              <w:top w:val="single" w:color="000000" w:sz="4" w:space="0"/>
              <w:left w:val="single" w:color="000000" w:sz="4" w:space="0"/>
              <w:bottom w:val="single" w:color="000000" w:sz="4" w:space="0"/>
              <w:right w:val="single" w:color="000000" w:sz="4" w:space="0"/>
            </w:tcBorders>
            <w:tcW w:w="109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95"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套</w:t>
            </w:r>
            <w:r/>
          </w:p>
        </w:tc>
      </w:tr>
      <w:tr>
        <w:trPr>
          <w:trHeight w:val="320"/>
        </w:trPr>
        <w:tc>
          <w:tcPr>
            <w:tcBorders>
              <w:top w:val="single" w:color="000000" w:sz="4" w:space="0"/>
              <w:left w:val="single" w:color="000000" w:sz="4" w:space="0"/>
              <w:bottom w:val="single" w:color="000000" w:sz="4" w:space="0"/>
              <w:right w:val="single" w:color="000000" w:sz="4" w:space="0"/>
            </w:tcBorders>
            <w:tcW w:w="60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09"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治疗型电子支气管镜</w:t>
            </w:r>
            <w:r/>
          </w:p>
        </w:tc>
        <w:tc>
          <w:tcPr>
            <w:tcBorders>
              <w:top w:val="single" w:color="000000" w:sz="4" w:space="0"/>
              <w:left w:val="single" w:color="000000" w:sz="4" w:space="0"/>
              <w:bottom w:val="single" w:color="000000" w:sz="4" w:space="0"/>
              <w:right w:val="single" w:color="000000" w:sz="4" w:space="0"/>
            </w:tcBorders>
            <w:tcW w:w="1093"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95"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根</w:t>
            </w:r>
            <w:r/>
          </w:p>
        </w:tc>
      </w:tr>
      <w:tr>
        <w:trPr>
          <w:trHeight w:val="320"/>
        </w:trPr>
        <w:tc>
          <w:tcPr>
            <w:tcBorders>
              <w:top w:val="single" w:color="000000" w:sz="4" w:space="0"/>
              <w:left w:val="single" w:color="000000" w:sz="4" w:space="0"/>
              <w:bottom w:val="single" w:color="000000" w:sz="4" w:space="0"/>
              <w:right w:val="single" w:color="000000" w:sz="4" w:space="0"/>
            </w:tcBorders>
            <w:tcW w:w="603"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09"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电子支气管镜</w:t>
            </w:r>
            <w:r/>
          </w:p>
        </w:tc>
        <w:tc>
          <w:tcPr>
            <w:tcBorders>
              <w:top w:val="single" w:color="000000" w:sz="4" w:space="0"/>
              <w:left w:val="single" w:color="000000" w:sz="4" w:space="0"/>
              <w:bottom w:val="single" w:color="000000" w:sz="4" w:space="0"/>
              <w:right w:val="single" w:color="000000" w:sz="4" w:space="0"/>
            </w:tcBorders>
            <w:tcW w:w="109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95"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根</w:t>
            </w:r>
            <w:r/>
          </w:p>
        </w:tc>
      </w:tr>
      <w:tr>
        <w:trPr>
          <w:trHeight w:val="340"/>
        </w:trPr>
        <w:tc>
          <w:tcPr>
            <w:tcBorders>
              <w:top w:val="single" w:color="000000" w:sz="4" w:space="0"/>
              <w:left w:val="single" w:color="000000" w:sz="4" w:space="0"/>
              <w:bottom w:val="single" w:color="000000" w:sz="4" w:space="0"/>
              <w:right w:val="single" w:color="000000" w:sz="4" w:space="0"/>
            </w:tcBorders>
            <w:tcW w:w="60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09"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监视器</w:t>
            </w:r>
            <w:r/>
          </w:p>
        </w:tc>
        <w:tc>
          <w:tcPr>
            <w:tcBorders>
              <w:top w:val="single" w:color="000000" w:sz="4" w:space="0"/>
              <w:left w:val="single" w:color="000000" w:sz="4" w:space="0"/>
              <w:bottom w:val="single" w:color="000000" w:sz="4" w:space="0"/>
              <w:right w:val="single" w:color="000000" w:sz="4" w:space="0"/>
            </w:tcBorders>
            <w:tcW w:w="109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95"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台</w:t>
            </w:r>
            <w:r/>
          </w:p>
        </w:tc>
      </w:tr>
      <w:tr>
        <w:trPr>
          <w:trHeight w:val="320"/>
        </w:trPr>
        <w:tc>
          <w:tcPr>
            <w:tcBorders>
              <w:top w:val="single" w:color="000000" w:sz="4" w:space="0"/>
              <w:left w:val="single" w:color="000000" w:sz="4" w:space="0"/>
              <w:bottom w:val="single" w:color="000000" w:sz="4" w:space="0"/>
              <w:right w:val="single" w:color="000000" w:sz="4" w:space="0"/>
            </w:tcBorders>
            <w:tcW w:w="60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09" w:type="pct"/>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台车</w:t>
            </w:r>
            <w:r/>
          </w:p>
        </w:tc>
        <w:tc>
          <w:tcPr>
            <w:tcBorders>
              <w:top w:val="single" w:color="000000" w:sz="4" w:space="0"/>
              <w:left w:val="single" w:color="000000" w:sz="4" w:space="0"/>
              <w:bottom w:val="single" w:color="000000" w:sz="4" w:space="0"/>
              <w:right w:val="single" w:color="000000" w:sz="4" w:space="0"/>
            </w:tcBorders>
            <w:tcW w:w="109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95"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台</w:t>
            </w:r>
            <w:r/>
          </w:p>
        </w:tc>
      </w:tr>
      <w:tr>
        <w:trPr>
          <w:trHeight w:val="320"/>
        </w:trPr>
        <w:tc>
          <w:tcPr>
            <w:tcBorders>
              <w:top w:val="single" w:color="000000" w:sz="4" w:space="0"/>
              <w:left w:val="single" w:color="000000" w:sz="4" w:space="0"/>
              <w:bottom w:val="single" w:color="000000" w:sz="4" w:space="0"/>
              <w:right w:val="single" w:color="000000" w:sz="4" w:space="0"/>
            </w:tcBorders>
            <w:tcW w:w="60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09"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图文工作站</w:t>
            </w:r>
            <w:r/>
          </w:p>
        </w:tc>
        <w:tc>
          <w:tcPr>
            <w:tcBorders>
              <w:top w:val="single" w:color="000000" w:sz="4" w:space="0"/>
              <w:left w:val="single" w:color="000000" w:sz="4" w:space="0"/>
              <w:bottom w:val="single" w:color="000000" w:sz="4" w:space="0"/>
              <w:right w:val="single" w:color="000000" w:sz="4" w:space="0"/>
            </w:tcBorders>
            <w:tcW w:w="1093"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95"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套</w:t>
            </w:r>
            <w:r/>
          </w:p>
        </w:tc>
      </w:tr>
    </w:tbl>
    <w:p>
      <w:pPr>
        <w:spacing w:line="360" w:lineRule="auto"/>
        <w:rPr>
          <w:rFonts w:hint="eastAsia" w:ascii="宋体" w:hAnsi="宋体" w:eastAsia="宋体"/>
          <w:sz w:val="31"/>
        </w:rPr>
      </w:pPr>
      <w:r>
        <w:rPr>
          <w:rFonts w:hint="eastAsia" w:ascii="宋体" w:hAnsi="宋体" w:eastAsia="宋体"/>
          <w:sz w:val="31"/>
        </w:rPr>
      </w:r>
      <w:r/>
    </w:p>
    <w:p>
      <w:pPr>
        <w:jc w:val="center"/>
        <w:spacing w:line="360" w:lineRule="auto"/>
        <w:rPr>
          <w:rFonts w:hint="eastAsia" w:ascii="宋体" w:hAnsi="宋体" w:eastAsia="宋体" w:cs="仿宋"/>
          <w:b/>
          <w:bCs/>
          <w:color w:val="000000" w:themeColor="text1"/>
          <w:sz w:val="28"/>
          <w:szCs w:val="28"/>
        </w:rPr>
      </w:pPr>
      <w:r>
        <w:rPr>
          <w:rFonts w:hint="eastAsia" w:ascii="宋体" w:hAnsi="宋体" w:eastAsia="宋体" w:cs="仿宋"/>
          <w:b/>
          <w:bCs/>
          <w:color w:val="000000" w:themeColor="text1"/>
          <w:sz w:val="28"/>
          <w:szCs w:val="28"/>
        </w:rPr>
        <w:t xml:space="preserve">品目三：配置清单（</w:t>
      </w:r>
      <w:r>
        <w:rPr>
          <w:rFonts w:hint="eastAsia" w:ascii="宋体" w:hAnsi="宋体" w:eastAsia="宋体" w:cs="仿宋"/>
          <w:b/>
          <w:bCs/>
          <w:color w:val="000000" w:themeColor="text1"/>
          <w:sz w:val="28"/>
          <w:szCs w:val="28"/>
        </w:rPr>
        <w:t xml:space="preserve">最高限价：</w:t>
      </w:r>
      <w:r>
        <w:rPr>
          <w:rFonts w:hint="eastAsia" w:ascii="宋体" w:hAnsi="宋体" w:eastAsia="宋体" w:cs="仿宋"/>
          <w:b/>
          <w:bCs/>
          <w:color w:val="000000" w:themeColor="text1"/>
          <w:sz w:val="28"/>
          <w:szCs w:val="28"/>
        </w:rPr>
        <w:t xml:space="preserve">100万元）</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02"/>
        <w:gridCol w:w="3117"/>
        <w:gridCol w:w="1840"/>
        <w:gridCol w:w="2331"/>
      </w:tblGrid>
      <w:tr>
        <w:trPr>
          <w:trHeight w:val="300"/>
        </w:trPr>
        <w:tc>
          <w:tcPr>
            <w:tcW w:w="60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序号</w:t>
            </w:r>
            <w:r/>
          </w:p>
        </w:tc>
        <w:tc>
          <w:tcPr>
            <w:tcW w:w="188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名称</w:t>
            </w:r>
            <w:r/>
          </w:p>
        </w:tc>
        <w:tc>
          <w:tcPr>
            <w:tcW w:w="111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数量</w:t>
            </w:r>
            <w:r/>
          </w:p>
        </w:tc>
        <w:tc>
          <w:tcPr>
            <w:tcW w:w="140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单位</w:t>
            </w:r>
            <w:r/>
          </w:p>
        </w:tc>
      </w:tr>
      <w:tr>
        <w:trPr>
          <w:trHeight w:val="468"/>
        </w:trPr>
        <w:tc>
          <w:tcPr>
            <w:tcW w:w="60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88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图像处理装置及冷光源</w:t>
            </w:r>
            <w:r/>
          </w:p>
        </w:tc>
        <w:tc>
          <w:tcPr>
            <w:tcW w:w="111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40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套</w:t>
            </w:r>
            <w:r/>
          </w:p>
        </w:tc>
      </w:tr>
      <w:tr>
        <w:trPr>
          <w:trHeight w:val="320"/>
        </w:trPr>
        <w:tc>
          <w:tcPr>
            <w:tcW w:w="60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1880" w:type="pct"/>
            <w:vAlign w:val="center"/>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监视器</w:t>
            </w:r>
            <w:r/>
          </w:p>
        </w:tc>
        <w:tc>
          <w:tcPr>
            <w:tcW w:w="1110" w:type="pct"/>
            <w:vAlign w:val="center"/>
            <w:textDirection w:val="lrTb"/>
            <w:noWrap w:val="false"/>
          </w:tcPr>
          <w:p>
            <w:pPr>
              <w:jc w:val="center"/>
              <w:spacing w:before="1"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40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台</w:t>
            </w:r>
            <w:r/>
          </w:p>
        </w:tc>
      </w:tr>
      <w:tr>
        <w:trPr>
          <w:trHeight w:val="320"/>
        </w:trPr>
        <w:tc>
          <w:tcPr>
            <w:tcW w:w="60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188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台车</w:t>
            </w:r>
            <w:r/>
          </w:p>
        </w:tc>
        <w:tc>
          <w:tcPr>
            <w:tcW w:w="111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40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台</w:t>
            </w:r>
            <w:r/>
          </w:p>
        </w:tc>
      </w:tr>
      <w:tr>
        <w:trPr>
          <w:trHeight w:val="320"/>
        </w:trPr>
        <w:tc>
          <w:tcPr>
            <w:tcW w:w="60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188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治疗型电子支气管镜</w:t>
            </w:r>
            <w:r/>
          </w:p>
        </w:tc>
        <w:tc>
          <w:tcPr>
            <w:tcW w:w="111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40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宋体"/>
                <w:sz w:val="24"/>
                <w:szCs w:val="24"/>
              </w:rPr>
              <w:t xml:space="preserve">根</w:t>
            </w:r>
            <w:r/>
          </w:p>
        </w:tc>
      </w:tr>
    </w:tbl>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jc w:val="left"/>
        <w:spacing w:line="360" w:lineRule="auto"/>
        <w:tabs>
          <w:tab w:val="left" w:pos="1260" w:leader="none"/>
        </w:tabs>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1、图像处理装置及光源</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1.1、图像输出：支持不低于全高清1920*1080像素图像传输要求。</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1.2、信号输出：视频信号输出方式至少有7种，支持HD-SDI、SD-SDI、DVI、DV、RGB、YPbPr、Y/C等。</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1.3、具备白平衡调节功能</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1.4、具有色调调节功能：红、蓝色度调节≥±5档以上。</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1.5、具备自动增益控制调节功能</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1.6、具备降噪调节功能</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1.7、具备测光模式：具有平均、峰值及全自动测光模式 。</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1.8、具备图像增强功能：图像的形态和边缘可以被电子增强，以增强图像的锐度，可选择构造强调和轮廓强调。</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1.9、具备图像冻结功能：可在术中实时进行手术画面冻结，方便进行静态图像采集。</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1.10、预冻结功能，可自动分析并选择彩虹现象最小的图像显示。</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1.11、具备图像放大功能：电子放大内镜图像，最大放大倍数≥1.5倍 </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1.12、具备特殊光光学观察模式：具备≥2种特殊光观察功能，能够更好地识别病灶，发现早期病变，节省患者后续治疗费用。</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1.13、具备远程控制功能：可远程控制的设备包括但不限于打印机、录像机等。</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1.14、气泵流量可调，可设为关闭、低、中、高4档</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▲1.15、具备患者数据记录功能，可在术前输入≥50名患者数据</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1.16、主机光源分体式设计</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1.17、光源种类 氙气灯光源或LED光源，若是氙气灯光源，要有应急灯。</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1.18、光源寿命，氙灯使用不小于500小时，LED灯使用不小于10000小时</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1.19、光源具备自动亮度调节功能，自动曝光≥15档</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1.20、可兼容同品牌已上市胃镜、肠镜、十二指肠镜、电子支气管镜、电子胸腔镜</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1.21、可兼容同品牌已上市超声胃镜。</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▲1.22、可兼容同品牌已上市超声小探头。</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1.23、可兼容同品牌已上市超声支气管镜。</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260" w:leader="none"/>
        </w:tabs>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二</w:t>
      </w:r>
      <w:r>
        <w:rPr>
          <w:rFonts w:hint="eastAsia" w:cs="宋体" w:asciiTheme="minorEastAsia" w:hAnsiTheme="minorEastAsia" w:eastAsiaTheme="minorEastAsia"/>
          <w:b/>
          <w:bCs/>
          <w:sz w:val="28"/>
          <w:szCs w:val="28"/>
        </w:rPr>
        <w:t xml:space="preserve">、治疗型电子支气管镜</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2.1、视野角度≥120°；视野方向0°直视；</w:t>
      </w:r>
      <w:r>
        <w:rPr>
          <w:rFonts w:hint="eastAsia" w:cs="宋体" w:asciiTheme="minorEastAsia" w:hAnsiTheme="minorEastAsia" w:eastAsiaTheme="minorEastAsia"/>
          <w:sz w:val="24"/>
          <w:szCs w:val="24"/>
        </w:rPr>
        <w:tab/>
        <w:t xml:space="preserve">景深：2—100mm。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2.2、弯曲角度上≥180°，下≥130°。</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▲2.3、具备插入管旋转功能，旋转角度向左≥120°，向右≥120°。</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2.4、先端部外径≤6.0mm，软性部外径≥5.8mm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▲2.5、钳子管道：器械孔道内镜≤2.95mm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2.6、防水的一触式接头：接头完全防水，清洗消毒时无需安装防水帽。</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2.7、具备窄带光成像功能。</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260" w:leader="none"/>
        </w:tabs>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三</w:t>
      </w:r>
      <w:r>
        <w:rPr>
          <w:rFonts w:hint="eastAsia" w:cs="宋体" w:asciiTheme="minorEastAsia" w:hAnsiTheme="minorEastAsia" w:eastAsiaTheme="minorEastAsia"/>
          <w:b/>
          <w:bCs/>
          <w:sz w:val="28"/>
          <w:szCs w:val="28"/>
        </w:rPr>
        <w:t xml:space="preserve">、电子支气管镜</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3.1、视野角度≥120°；视野方向0°直视；</w:t>
      </w:r>
      <w:r>
        <w:rPr>
          <w:rFonts w:hint="eastAsia" w:cs="宋体" w:asciiTheme="minorEastAsia" w:hAnsiTheme="minorEastAsia" w:eastAsiaTheme="minorEastAsia"/>
          <w:sz w:val="24"/>
          <w:szCs w:val="24"/>
        </w:rPr>
        <w:tab/>
        <w:t xml:space="preserve">景深:2-100mm。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3.2、弯曲角度上≥180°，下≥130°。</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▲3.3、具备插入管旋转功能，旋转角度向左≥120°，向右≥120°。</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3.4、先端部外径≥5.0mm，软性部外径≥4.9mm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▲3.5、钳子管道：器械孔道内镜≤2.0mm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3.6、防水的一触式接头：接头完全防水，清洗消毒时无需安装防水帽。</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3.7、具备窄带光成像功能。</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260" w:leader="none"/>
        </w:tabs>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四</w:t>
      </w:r>
      <w:r>
        <w:rPr>
          <w:rFonts w:hint="eastAsia" w:cs="宋体" w:asciiTheme="minorEastAsia" w:hAnsiTheme="minorEastAsia" w:eastAsiaTheme="minorEastAsia"/>
          <w:b/>
          <w:bCs/>
          <w:sz w:val="28"/>
          <w:szCs w:val="28"/>
        </w:rPr>
        <w:t xml:space="preserve">、监视器</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4.1、屏幕≥27英寸</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4.2、画质：具备4K高清彩色视频图像</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4.3、提供了多种接口：DP、HDMI、DVI、SDI等接口</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4.4、分辨率/长宽比：3840*2160像素/16:9</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260" w:leader="none"/>
        </w:tabs>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五</w:t>
      </w:r>
      <w:r>
        <w:rPr>
          <w:rFonts w:hint="eastAsia" w:cs="宋体" w:asciiTheme="minorEastAsia" w:hAnsiTheme="minorEastAsia" w:eastAsiaTheme="minorEastAsia"/>
          <w:b/>
          <w:bCs/>
          <w:sz w:val="28"/>
          <w:szCs w:val="28"/>
        </w:rPr>
        <w:t xml:space="preserve">、台车</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5.1、同品牌原装台车</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5.2、托盘高度的可调整</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5.3、具备集中电源·冲击电流控制·低电待机功能</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5.4、根据人体工学设计的手柄及高稳定性的双脚轮，提升了操控性和稳定性</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260" w:leader="none"/>
        </w:tabs>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六</w:t>
      </w:r>
      <w:r>
        <w:rPr>
          <w:rFonts w:hint="eastAsia" w:cs="宋体" w:asciiTheme="minorEastAsia" w:hAnsiTheme="minorEastAsia" w:eastAsiaTheme="minorEastAsia"/>
          <w:b/>
          <w:bCs/>
          <w:sz w:val="28"/>
          <w:szCs w:val="28"/>
        </w:rPr>
        <w:t xml:space="preserve">、超声图像处理装置</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6.1、支持机械扫描模式，可用频率包含：12MHz，20MHz，扫描范围至少包含：2，3，4，6，9，12cm。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6.2、机械扫描的显示支持B模式显示，显示区域可全圆显示，下半圆显示，上半圆显示，滚动；图像支持倒转，并需支持3D显示和MPR 显示。</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6.3、支持电子扫描模式，可用频率：≥5种；</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6.4、扫描显示模式至少包含弹性成像模式、B模式、血流模式、脉冲多普勒模式；</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6.5、扫描显示范围至少包含：2、3、4、5、6、7、8、9、10、11、12cm；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6.6、电子扫描血流模式至少含有彩色血流模式、能量血流模式、精细血流模式；</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6.7、电子扫描支持脉冲多普勒模式，并至少包含B脉冲多普勒模式、彩色脉冲多普勒模式、能量脉冲多普勒模式、精细血流脉冲多普勒模式等；</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6.8、组织谐波模式至少有穿透力优先模式，分辨率优先模式；</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6.9、主机配有专用键盘，内置触控板和触摸板，易于识别并方便操作人员使用；</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6.10、机械扫描的图像回放≥1500帧(根据情况)支持动态回放</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6.11、机械扫描的3D：3D显示，DPR显示</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6.12、扫描模式具备：电子扫描和机械扫描两种模式。</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6.13、支持同品牌的内镜的环形和凸阵电子扫描。</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6.14、支持视频录制功能。</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▲6.15、在一台超声内镜主机上既可以兼容同品牌电子扫描超声支气管内镜，也可以兼容同品牌机械扫描超声小探头。</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★6.16、可兼容同品牌支气管导航软件系统</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260"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w:t>
      </w:r>
      <w:r>
        <w:rPr>
          <w:rFonts w:hint="eastAsia" w:cs="宋体" w:asciiTheme="minorEastAsia" w:hAnsiTheme="minorEastAsia" w:eastAsiaTheme="minorEastAsia"/>
          <w:b/>
          <w:bCs/>
          <w:sz w:val="24"/>
          <w:szCs w:val="24"/>
        </w:rPr>
        <w:t xml:space="preserve">、超声电子支气管内窥镜</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7.1、景深包含：2 mm-50 mm；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7.2、先端部外径≥6.5 mm，插入部外径≤6.4 mm；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7.3、插入管软管前端弯曲角度：向上弯曲上≥160度，向下弯曲下≥70度；</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7.4、钳子管道内径≥2.2 mm；</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7.5、超声电缆线可拆卸；</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▲7.6、电子扫描可用频率≥5种；</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7.7、扫描方向平行于插入方；</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7.8、扫描范围≥60°；</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7.9、视野方向：向前斜视≤30°；</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7.10、超声扫描方式：电子凸阵扫描；</w:t>
      </w:r>
      <w:r/>
    </w:p>
    <w:p>
      <w:pPr>
        <w:jc w:val="left"/>
        <w:spacing w:line="360" w:lineRule="auto"/>
        <w:tabs>
          <w:tab w:val="left" w:pos="12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7.11、接触方法：水囊法和直接接触法</w:t>
      </w:r>
      <w:r/>
    </w:p>
    <w:p>
      <w:pPr>
        <w:jc w:val="left"/>
        <w:spacing w:line="360" w:lineRule="auto"/>
        <w:tabs>
          <w:tab w:val="left" w:pos="1260" w:leader="none"/>
        </w:tabs>
        <w:rPr>
          <w:rFonts w:hint="eastAsia" w:ascii="宋体" w:hAnsi="宋体" w:eastAsia="宋体" w:cs="宋体"/>
          <w:b/>
          <w:bCs/>
          <w:sz w:val="24"/>
          <w:szCs w:val="24"/>
        </w:rPr>
      </w:pPr>
      <w:r>
        <w:rPr>
          <w:rFonts w:hint="eastAsia" w:cs="宋体" w:asciiTheme="minorEastAsia" w:hAnsiTheme="minorEastAsia" w:eastAsiaTheme="minorEastAsia"/>
          <w:sz w:val="24"/>
          <w:szCs w:val="24"/>
        </w:rPr>
        <w:t xml:space="preserve">7.12、操作模式：B模式，彩色血流模式，PW模式等</w:t>
      </w:r>
      <w:r>
        <w:rPr>
          <w:rFonts w:hint="eastAsia" w:ascii="宋体" w:hAnsi="宋体" w:eastAsia="宋体" w:cs="宋体"/>
          <w:b/>
          <w:bCs/>
          <w:sz w:val="24"/>
          <w:szCs w:val="24"/>
        </w:rPr>
        <w:br w:type="page" w:clear="all"/>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bookmarkStart w:id="42" w:name="OLE_LINK4"/>
            <w:r>
              <w:rPr>
                <w:rFonts w:ascii="宋体" w:hAnsi="宋体" w:eastAsia="宋体" w:cs="仿宋"/>
                <w:sz w:val="24"/>
                <w:szCs w:val="24"/>
              </w:rPr>
              <w:t xml:space="preserve">合同签订后</w:t>
            </w:r>
            <w:r>
              <w:rPr>
                <w:rFonts w:hint="eastAsia" w:ascii="宋体" w:hAnsi="宋体" w:eastAsia="宋体" w:cs="仿宋"/>
                <w:sz w:val="24"/>
                <w:szCs w:val="24"/>
              </w:rPr>
              <w:t xml:space="preserve">60</w:t>
            </w:r>
            <w:r>
              <w:rPr>
                <w:rFonts w:ascii="宋体" w:hAnsi="宋体" w:eastAsia="宋体" w:cs="仿宋"/>
                <w:sz w:val="24"/>
                <w:szCs w:val="24"/>
              </w:rPr>
              <w:t xml:space="preserve">个工作日内完成交货、安装、调试及验收</w:t>
            </w:r>
            <w:r>
              <w:rPr>
                <w:rFonts w:hint="eastAsia" w:ascii="宋体" w:hAnsi="宋体" w:eastAsia="宋体" w:cs="仿宋"/>
                <w:sz w:val="24"/>
                <w:szCs w:val="24"/>
              </w:rPr>
              <w:t xml:space="preserve">。</w:t>
            </w:r>
            <w:bookmarkEnd w:id="42"/>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提供不少于</w:t>
            </w:r>
            <w:r>
              <w:rPr>
                <w:rFonts w:hint="eastAsia" w:ascii="宋体" w:hAnsi="宋体" w:eastAsia="宋体" w:cs="仿宋"/>
                <w:sz w:val="24"/>
                <w:szCs w:val="24"/>
              </w:rPr>
              <w:t xml:space="preserve">两</w:t>
            </w:r>
            <w:r>
              <w:rPr>
                <w:rFonts w:hint="eastAsia" w:ascii="宋体" w:hAnsi="宋体" w:eastAsia="宋体" w:cs="仿宋"/>
                <w:sz w:val="24"/>
                <w:szCs w:val="24"/>
              </w:rPr>
              <w:t xml:space="preserve">年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1、合同签订完毕后，</w:t>
            </w:r>
            <w:r>
              <w:rPr>
                <w:rFonts w:hint="eastAsia" w:ascii="宋体" w:hAnsi="宋体" w:eastAsia="宋体" w:cs="仿宋"/>
                <w:sz w:val="24"/>
                <w:szCs w:val="24"/>
              </w:rPr>
              <w:t xml:space="preserve">各</w:t>
            </w:r>
            <w:r>
              <w:rPr>
                <w:rFonts w:hint="eastAsia" w:ascii="宋体" w:hAnsi="宋体" w:eastAsia="宋体" w:cs="仿宋"/>
                <w:sz w:val="24"/>
                <w:szCs w:val="24"/>
                <w:lang w:val="zh-CN"/>
              </w:rPr>
              <w:t xml:space="preserve">最终用户单位向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支付合同总价30％的预付款。设备安装调试验收合格后，中标供应商凭</w:t>
            </w:r>
            <w:r>
              <w:rPr>
                <w:rFonts w:ascii="宋体" w:hAnsi="宋体" w:eastAsia="宋体" w:cs="仿宋"/>
                <w:sz w:val="24"/>
                <w:szCs w:val="24"/>
                <w:lang w:val="zh-CN"/>
              </w:rPr>
              <w:t xml:space="preserve">最终用户确认的验收报告</w:t>
            </w:r>
            <w:r>
              <w:rPr>
                <w:rFonts w:hint="eastAsia" w:ascii="宋体" w:hAnsi="宋体" w:eastAsia="宋体" w:cs="仿宋"/>
                <w:sz w:val="24"/>
                <w:szCs w:val="24"/>
                <w:lang w:val="zh-CN"/>
              </w:rPr>
              <w:t xml:space="preserve">，向最终用户开具真实、合法的全额销售发票，最终用户在收到发票后30日内向中标供应商支付剩余货款。</w:t>
            </w:r>
            <w:r/>
          </w:p>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2、税费：本合同执行中相关的一切税费均由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履约</w:t>
            </w:r>
            <w:r>
              <w:rPr>
                <w:rFonts w:hint="eastAsia" w:ascii="宋体" w:hAnsi="宋体" w:eastAsia="宋体" w:cs="仿宋"/>
                <w:bCs/>
                <w:position w:val="-10"/>
                <w:sz w:val="24"/>
                <w:szCs w:val="24"/>
                <w:lang w:val="zh-CN"/>
              </w:rPr>
              <w:t xml:space="preserve">验收标准</w:t>
            </w:r>
            <w:r/>
          </w:p>
        </w:tc>
        <w:tc>
          <w:tcPr>
            <w:tcW w:w="3694" w:type="pct"/>
            <w:vAlign w:val="center"/>
            <w:textDirection w:val="lrTb"/>
            <w:noWrap w:val="false"/>
          </w:tcPr>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设备安装、调试结束后，采购人对设备试用后进行验收（时间由买、供双方商定），投标人免费派工程师到达现场协助验收工作。投标人提供的设备必须符合我国最新颁布的与之相关的技术规范与标准。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1.到货日期距仪器生产日期：不超过180天（以铭牌为准）。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采购人对投标人提交的货物依据招标文件上的技术规格要求和投标人承诺的其他指标进行现场验收，符合招标文件技术要求的，给予签收，验收不合格的不予签收，投标人承担由此造成的一切损失。采购人有权随机抽取部分产品送第三方检测机构进行破坏性检测。</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3.投标人验收交货前应对设备作出全面检查和对验收文件进行整理列出清单，提供详细的验收标准、验收手册作为采购人收货验收和使用的技术条件依据，检验的结果应附验收文件之后随货物交采购人。</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4.对技术复杂的货物，采购人可请国家认可的专业检测机构参与初步验收及最终验收，并由其出具质量检测报告。</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5.采购人有权请检测机构相关专家和采购人单位代表在生产前随时到生产现场查看所有制作材料的型号和进货清单等书面材料及原始凭证，投标人承担有可能产生的材料品牌检测费。</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6.所有设备、材料及安装无质量问题，采购人与投标人双方及有关部门确认验收合格。保修期自验收合格正式开始使用一个月后，开始计算。</w:t>
            </w:r>
            <w:r/>
          </w:p>
          <w:p>
            <w:pPr>
              <w:spacing w:line="360" w:lineRule="exact"/>
              <w:rPr>
                <w:rFonts w:hint="eastAsia" w:ascii="宋体" w:hAnsi="宋体" w:eastAsia="宋体" w:cs="仿宋"/>
                <w:sz w:val="24"/>
                <w:szCs w:val="24"/>
              </w:rPr>
            </w:pPr>
            <w:r>
              <w:rPr>
                <w:rFonts w:hint="eastAsia" w:asciiTheme="minorEastAsia" w:hAnsiTheme="minorEastAsia" w:eastAsiaTheme="minorEastAsia"/>
                <w:sz w:val="24"/>
                <w:szCs w:val="18"/>
              </w:rPr>
              <w:t xml:space="preserve">7.投标人在最终验收合格之后，向采购人移交但不限于装箱清单、验收报告、测试报告、产品合格证、使用说明书、保养、维护所必须的资料（使用及维护手册、维修图纸、软件备份、故障代码表、备件清单、零配件、维修密码等维护维修必需的材料和信息）等所有设备资料。</w:t>
            </w:r>
            <w:r/>
          </w:p>
        </w:tc>
      </w:tr>
      <w:tr>
        <w:trPr>
          <w:jc w:val="center"/>
          <w:trHeight w:val="90"/>
        </w:trPr>
        <w:tc>
          <w:tcPr>
            <w:tcW w:w="465" w:type="pct"/>
            <w:vAlign w:val="center"/>
            <w:textDirection w:val="lrTb"/>
            <w:noWrap w:val="false"/>
          </w:tcPr>
          <w:p>
            <w:pPr>
              <w:jc w:val="center"/>
              <w:spacing w:line="400" w:lineRule="exact"/>
              <w:rPr>
                <w:rFonts w:hint="eastAsia"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1</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保修期内每年两次定期维护。</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3</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维修配件费供方必须以低于原厂报价的70％优惠提供（提供承诺书，格式自拟，须加盖投标人公章。</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4</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设备随机耗材要求：投标供应商应列明能确保设备正常使用的，所需耗材及维修配件的清单及价格（格式可自拟）；未列其中的，视为免费维保范围之材料。</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5</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具备数字化接口的设备应承诺免费开放该接口，并由供应商承担与医院平台系统（如HIS、LIS、PACS等）相连接的接口费用，含现有和后期设备对接等，不因任何因素增加，甲方无须支付任何费用。(格式可自拟)。</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6</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设备使用年限内（本次所投产品的</w:t>
            </w:r>
            <w:r>
              <w:rPr>
                <w:rFonts w:hint="eastAsia" w:ascii="宋体" w:hAnsi="宋体" w:eastAsia="宋体" w:cs="仿宋"/>
                <w:sz w:val="24"/>
                <w:szCs w:val="24"/>
              </w:rPr>
              <w:t xml:space="preserve">设计使用</w:t>
            </w:r>
            <w:r>
              <w:rPr>
                <w:rFonts w:hint="eastAsia" w:ascii="宋体" w:hAnsi="宋体" w:eastAsia="宋体" w:cs="仿宋"/>
                <w:sz w:val="24"/>
                <w:szCs w:val="24"/>
              </w:rPr>
              <w:t xml:space="preserve">年限≥</w:t>
            </w:r>
            <w:r>
              <w:rPr>
                <w:rFonts w:hint="eastAsia" w:ascii="宋体" w:hAnsi="宋体" w:eastAsia="宋体" w:cs="仿宋"/>
                <w:sz w:val="24"/>
                <w:szCs w:val="24"/>
              </w:rPr>
              <w:t xml:space="preserve">6</w:t>
            </w:r>
            <w:r>
              <w:rPr>
                <w:rFonts w:hint="eastAsia" w:ascii="宋体" w:hAnsi="宋体" w:eastAsia="宋体" w:cs="仿宋"/>
                <w:sz w:val="24"/>
                <w:szCs w:val="24"/>
              </w:rPr>
              <w:t xml:space="preserve">年），生产厂家应承诺保证配件、耗材的供应；若因设备升级等原因导致配件、耗材价格提高，或已无法正常供应配件、耗材时，采购人有权要求生产厂家按折旧后的价格将设备回收。</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(一)包装、发运及运输</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(二)知识产权</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但不限于对外赔偿费用、诉讼费、律师费、差旅费等。</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(三)产权担保</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供应商保证所交付的设备的所有权完全属于供应商且无任何抵押、查封等产权瑕疵。</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(四)技术资料</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向履行本项目有关的人员提供，也应注意保密并限于履行的必需范围。</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(五)转包或分包</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(六)违约责任</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1.供应商逾期交付设备的，院方可从货款中扣除相应的误期赔偿费，延期交货和延期服务的赔偿费每周按合同价款的百分之2</w:t>
            </w:r>
            <w:r>
              <w:rPr>
                <w:rFonts w:hint="eastAsia" w:ascii="宋体" w:hAnsi="宋体" w:eastAsia="宋体" w:cs="仿宋"/>
                <w:sz w:val="24"/>
                <w:szCs w:val="24"/>
              </w:rPr>
              <w:t xml:space="preserve">(2%)</w:t>
            </w:r>
            <w:r>
              <w:rPr>
                <w:rFonts w:hint="eastAsia" w:ascii="宋体" w:hAnsi="宋体" w:eastAsia="宋体" w:cs="仿宋"/>
                <w:sz w:val="24"/>
                <w:szCs w:val="24"/>
              </w:rPr>
              <w:t xml:space="preserve">计收，直至交货或提供服务为止。但误期赔偿费的最高限额不超过合同价款的百分之二十(20%)。一周按7天计算，不足7天按一周计算。一旦达到误期赔偿的最高限额，甲方有权终止合同。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按供应商逾期交货处理。供应商拒绝更换设备的，院方可单方面解除项目，供应商应向院方支付货款总值5%的违约金，如造成院方损失超过违约金的，超出部分由供应商继续承担赔偿责任。</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(七)不可抗力事件处理</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40" w:lineRule="exact"/>
              <w:rPr>
                <w:rFonts w:hint="eastAsia" w:ascii="宋体" w:hAnsi="宋体" w:eastAsia="宋体" w:cs="仿宋"/>
                <w:sz w:val="24"/>
                <w:szCs w:val="24"/>
                <w:lang w:val="zh-CN"/>
              </w:rPr>
            </w:pPr>
            <w:r>
              <w:rPr>
                <w:rFonts w:hint="eastAsia" w:ascii="宋体" w:hAnsi="宋体" w:eastAsia="宋体" w:cs="仿宋"/>
                <w:sz w:val="24"/>
                <w:szCs w:val="24"/>
              </w:rPr>
              <w:t xml:space="preserve">3.不可抗力事件延续120天以上，双方应通过友好协商，确定是否继续履行合同。</w:t>
            </w:r>
            <w:r/>
          </w:p>
        </w:tc>
      </w:tr>
    </w:tbl>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28"/>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39"/>
      <w:r/>
      <w:bookmarkEnd w:id="40"/>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3" w:name="_Hlk147842034"/>
      <w:r>
        <w:rPr>
          <w:rFonts w:cs="仿宋" w:asciiTheme="minorEastAsia" w:hAnsiTheme="minorEastAsia" w:eastAsiaTheme="minorEastAsia"/>
          <w:b/>
          <w:color w:val="000000" w:themeColor="text1"/>
          <w:sz w:val="24"/>
          <w:szCs w:val="24"/>
        </w:rPr>
        <w:br w:type="page" w:clear="all"/>
      </w:r>
      <w:r/>
    </w:p>
    <w:p>
      <w:pPr>
        <w:pStyle w:val="862"/>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按满足招标文件要求且报价最低的供应商报价为评标基准价，其价格分为满分30分，其他供应商的价格分统一按照以下公式计算，保留小数点后2位：投标报价得分=（评标基准价/该供应商的投标报价）×30%×100。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307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技术要求</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1.全部满足招标文件基本要求得38分，正偏离不加分；★号指标为核心技术指标（共1项），有一项★号指标负偏离做废标处理；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2.▲号指标为关键技术指标（共8项），有一项▲号指标负偏离扣3分；（★号、▲号指标均须提供相关证明材料（包括制造商盖章的技术白皮书、Data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3.未标注★、▲号指标为一般技术指标（共64项），每负偏离一项扣0.2</w:t>
            </w:r>
            <w:r>
              <w:rPr>
                <w:rFonts w:hint="eastAsia" w:ascii="宋体" w:hAnsi="宋体" w:eastAsia="宋体" w:cs="仿宋"/>
                <w:sz w:val="24"/>
                <w:szCs w:val="24"/>
              </w:rPr>
              <w:t xml:space="preserve">2</w:t>
            </w:r>
            <w:r>
              <w:rPr>
                <w:rFonts w:hint="eastAsia" w:ascii="宋体" w:hAnsi="宋体" w:eastAsia="宋体" w:cs="仿宋"/>
                <w:sz w:val="24"/>
                <w:szCs w:val="24"/>
              </w:rPr>
              <w:t xml:space="preserve">分，扣完为止。</w:t>
            </w:r>
            <w:r/>
          </w:p>
          <w:p>
            <w:pPr>
              <w:spacing w:line="360" w:lineRule="auto"/>
            </w:pPr>
            <w:r>
              <w:rPr>
                <w:rFonts w:hint="eastAsia" w:ascii="宋体" w:hAnsi="宋体" w:eastAsia="宋体" w:cs="仿宋"/>
                <w:sz w:val="24"/>
                <w:szCs w:val="24"/>
              </w:rPr>
              <w:t xml:space="preserve">4.产品交付验收时，采购人将对技术规格要求中的★号、▲号指标进行逐一核实验收，如发现虚假应标，或无法实现关键技术指标功能，有权向采购主管部门进行举报，由中标供应商承担一切法律责任。</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38分</w:t>
            </w:r>
            <w:r/>
          </w:p>
        </w:tc>
      </w:tr>
      <w:tr>
        <w:trPr>
          <w:jc w:val="center"/>
          <w:trHeight w:val="62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供应商提供对用户的操作培训、业务功能培训等相关培训计划方案，除正常操作培训外，针对甲方的</w:t>
            </w:r>
            <w:r>
              <w:rPr>
                <w:rFonts w:hint="eastAsia" w:ascii="宋体" w:hAnsi="宋体" w:eastAsia="宋体" w:cs="仿宋"/>
                <w:sz w:val="24"/>
                <w:szCs w:val="24"/>
              </w:rPr>
              <w:t xml:space="preserve">特点，提出其他技术培训保障方案：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w:t>
            </w:r>
            <w:r>
              <w:rPr>
                <w:rFonts w:ascii="宋体" w:hAnsi="宋体" w:eastAsia="宋体" w:cs="仿宋"/>
                <w:sz w:val="24"/>
                <w:szCs w:val="24"/>
              </w:rPr>
              <w:t xml:space="preserve">1</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w:t>
            </w:r>
            <w:r>
              <w:rPr>
                <w:rFonts w:hint="eastAsia" w:ascii="宋体" w:hAnsi="宋体" w:eastAsia="宋体" w:cs="仿宋"/>
                <w:sz w:val="24"/>
                <w:szCs w:val="24"/>
              </w:rPr>
              <w:t xml:space="preserve">合理，人员配备齐全、设备配备齐全、先进者，得5分；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3.售后服务方案内容简单，服务承诺不够具体，人员配备不足者，得1分；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98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2024年1月1日（以合同签订时间为准）至今，类似产品销售业绩证明文件【主要标的物：同品牌、同型号或同系列设备，同一采购单位不重复计分，提供合同需加盖供应商公章】，每份有效业绩得1分，最高得6分。 </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6分</w:t>
            </w:r>
            <w:r/>
          </w:p>
        </w:tc>
      </w:tr>
      <w:tr>
        <w:trPr>
          <w:jc w:val="center"/>
          <w:trHeight w:val="1086"/>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8</w:t>
            </w:r>
            <w:r/>
          </w:p>
        </w:tc>
        <w:tc>
          <w:tcPr>
            <w:tcW w:w="704"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cs="仿宋"/>
                <w:sz w:val="24"/>
                <w:szCs w:val="24"/>
              </w:rPr>
              <w:t xml:space="preserve">质保期</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供应商提供的原厂出具的售后服务承诺书需满足采购文件要求的免费原厂质保期（</w:t>
            </w:r>
            <w:r>
              <w:rPr>
                <w:rFonts w:hint="eastAsia" w:ascii="宋体" w:hAnsi="宋体" w:eastAsia="宋体" w:cs="仿宋"/>
                <w:sz w:val="24"/>
                <w:szCs w:val="24"/>
              </w:rPr>
              <w:t xml:space="preserve">两</w:t>
            </w:r>
            <w:r>
              <w:rPr>
                <w:rFonts w:hint="eastAsia" w:ascii="宋体" w:hAnsi="宋体" w:eastAsia="宋体" w:cs="仿宋"/>
                <w:sz w:val="24"/>
                <w:szCs w:val="24"/>
              </w:rPr>
              <w:t xml:space="preserve">年）要求，满足不得分，每增加1年原厂质保加2分，最多得6分。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6分</w:t>
            </w:r>
            <w:r/>
          </w:p>
        </w:tc>
      </w:tr>
    </w:tbl>
    <w:p>
      <w:pPr>
        <w:pStyle w:val="862"/>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3"/>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w:t>
      </w:r>
      <w:r>
        <w:rPr>
          <w:rFonts w:hint="eastAsia" w:ascii="宋体" w:hAnsi="宋体" w:eastAsia="宋体"/>
          <w:position w:val="-10"/>
          <w:sz w:val="24"/>
          <w:szCs w:val="24"/>
        </w:rPr>
        <w:t xml:space="preserve">每日万分之五，累计不超过合同总价10%，</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62"/>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62"/>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4" w:name="_Hlt26955039"/>
      <w:r/>
      <w:bookmarkStart w:id="45" w:name="_Hlt26671244"/>
      <w:r/>
      <w:bookmarkStart w:id="46" w:name="_Toc26554094"/>
      <w:r/>
      <w:bookmarkStart w:id="47" w:name="_Toc120614282"/>
      <w:r/>
      <w:bookmarkStart w:id="48" w:name="_Toc49090576"/>
      <w:r/>
      <w:bookmarkEnd w:id="44"/>
      <w:r/>
      <w:bookmarkEnd w:id="45"/>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2"/>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49"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49"/>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0" w:name="_Toc120614284"/>
      <w:r/>
      <w:bookmarkEnd w:id="46"/>
      <w:r/>
      <w:bookmarkEnd w:id="47"/>
      <w:r/>
      <w:bookmarkEnd w:id="48"/>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32"/>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1" w:name="_Hlt26671380"/>
      <w:r/>
      <w:bookmarkStart w:id="52" w:name="_格式3__银行出具的资信证明"/>
      <w:r/>
      <w:bookmarkStart w:id="53" w:name="_Hlt26955070"/>
      <w:r/>
      <w:bookmarkEnd w:id="51"/>
      <w:r/>
      <w:bookmarkEnd w:id="52"/>
      <w:r/>
      <w:bookmarkEnd w:id="53"/>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32"/>
        <w:spacing w:line="360" w:lineRule="auto"/>
      </w:pPr>
      <w:r/>
      <w:r/>
    </w:p>
    <w:p>
      <w:pPr>
        <w:pStyle w:val="832"/>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3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32"/>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54"/>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560"/>
        <w:spacing w:line="360" w:lineRule="auto"/>
        <w:rPr>
          <w:rFonts w:hint="eastAsia" w:ascii="宋体" w:hAnsi="宋体"/>
          <w:sz w:val="28"/>
          <w:szCs w:val="28"/>
        </w:rPr>
      </w:pPr>
      <w:r>
        <w:rPr>
          <w:rFonts w:hint="eastAsia" w:ascii="宋体" w:hAnsi="宋体"/>
          <w:sz w:val="28"/>
          <w:szCs w:val="28"/>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480"/>
        <w:spacing w:line="360" w:lineRule="auto"/>
        <w:rPr>
          <w:rFonts w:hint="eastAsia" w:ascii="宋体" w:hAnsi="宋体"/>
          <w:sz w:val="24"/>
          <w:szCs w:val="24"/>
        </w:rPr>
      </w:pPr>
      <w:r>
        <w:rPr>
          <w:rFonts w:hint="eastAsia" w:ascii="宋体" w:hAnsi="宋体"/>
          <w:sz w:val="24"/>
          <w:szCs w:val="24"/>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5"/>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56"/>
        <w:spacing w:line="360" w:lineRule="auto"/>
        <w:rPr>
          <w:rFonts w:hint="eastAsia" w:ascii="宋体" w:hAnsi="宋体"/>
          <w:b/>
          <w:spacing w:val="6"/>
          <w:sz w:val="30"/>
          <w:szCs w:val="30"/>
        </w:rPr>
      </w:pPr>
      <w:r>
        <w:rPr>
          <w:rFonts w:hint="eastAsia" w:ascii="宋体" w:hAnsi="宋体"/>
          <w:b/>
          <w:spacing w:val="6"/>
          <w:sz w:val="30"/>
          <w:szCs w:val="30"/>
        </w:rPr>
      </w:r>
      <w:r/>
    </w:p>
    <w:p>
      <w:pPr>
        <w:pStyle w:val="1055"/>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5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57"/>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57"/>
        <w:ind w:firstLine="3629"/>
        <w:jc w:val="left"/>
        <w:spacing w:line="360" w:lineRule="auto"/>
        <w:rPr>
          <w:rFonts w:hint="eastAsia" w:ascii="宋体" w:hAnsi="宋体"/>
          <w:sz w:val="24"/>
        </w:rPr>
      </w:pPr>
      <w:r>
        <w:rPr>
          <w:rFonts w:hint="eastAsia" w:ascii="宋体" w:hAnsi="宋体"/>
          <w:sz w:val="24"/>
        </w:rPr>
      </w:r>
      <w:r/>
    </w:p>
    <w:p>
      <w:pPr>
        <w:pStyle w:val="1057"/>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53"/>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56"/>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58"/>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55"/>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5"/>
          <w:rFonts w:hint="eastAsia" w:ascii="方正魏碑_GBK" w:hAnsi="方正魏碑_GBK" w:eastAsia="方正魏碑_GBK" w:cs="方正魏碑_GBK"/>
          <w:i w:val="0"/>
          <w:color w:val="ff0000"/>
          <w:u w:val="single"/>
          <w:shd w:val="clear" w:color="auto" w:fill="ffffff"/>
        </w:rPr>
        <w:t xml:space="preserve">（产品名称1）</w:t>
      </w:r>
      <w:r>
        <w:rPr>
          <w:rStyle w:val="86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Style w:val="86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Style w:val="86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9"/>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55"/>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r/>
      <w:r/>
    </w:p>
    <w:p>
      <w:pPr>
        <w:pStyle w:val="832"/>
        <w:spacing w:line="360" w:lineRule="auto"/>
      </w:pPr>
      <w:r/>
      <w:r/>
    </w:p>
    <w:p>
      <w:pPr>
        <w:spacing w:line="360" w:lineRule="auto"/>
      </w:pPr>
      <w:r/>
      <w:r/>
    </w:p>
    <w:p>
      <w:pPr>
        <w:pStyle w:val="832"/>
        <w:spacing w:line="360" w:lineRule="auto"/>
      </w:pPr>
      <w:r/>
      <w:r/>
    </w:p>
    <w:p>
      <w:pPr>
        <w:pStyle w:val="832"/>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4" w:name="_Toc11176"/>
      <w:r>
        <w:rPr>
          <w:rFonts w:hint="eastAsia" w:eastAsia="黑体" w:cs="黑体"/>
          <w:b/>
          <w:sz w:val="32"/>
          <w:szCs w:val="24"/>
        </w:rPr>
        <w:t xml:space="preserve">十、</w:t>
      </w:r>
      <w:bookmarkEnd w:id="54"/>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5" w:name="_Toc28140"/>
      <w:r>
        <w:rPr>
          <w:rFonts w:hint="eastAsia" w:eastAsia="黑体" w:cs="黑体"/>
          <w:b/>
          <w:sz w:val="32"/>
          <w:szCs w:val="24"/>
        </w:rPr>
        <w:t xml:space="preserve">十一</w:t>
      </w:r>
      <w:r>
        <w:rPr>
          <w:rFonts w:eastAsia="黑体" w:cs="黑体"/>
          <w:b/>
          <w:sz w:val="32"/>
          <w:szCs w:val="24"/>
        </w:rPr>
        <w:t xml:space="preserve">、投标所需其他材料</w:t>
      </w:r>
      <w:bookmarkEnd w:id="55"/>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0"/>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6" w:name="_Hlt26955066"/>
      <w:r/>
      <w:bookmarkStart w:id="57" w:name="_Hlt26671374"/>
      <w:r/>
      <w:bookmarkStart w:id="58" w:name="_Hlt26609389"/>
      <w:r/>
      <w:bookmarkStart w:id="59" w:name="_Toc462564146"/>
      <w:r/>
      <w:bookmarkEnd w:id="56"/>
      <w:r/>
      <w:bookmarkEnd w:id="57"/>
      <w:r/>
      <w:bookmarkEnd w:id="58"/>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0" w:name="_格式2__法定代表人授权书"/>
      <w:r/>
      <w:bookmarkEnd w:id="59"/>
      <w:r/>
      <w:bookmarkEnd w:id="60"/>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5"/>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829"/>
    <w:link w:val="820"/>
    <w:uiPriority w:val="9"/>
    <w:rPr>
      <w:rFonts w:ascii="Arial" w:hAnsi="Arial" w:eastAsia="Arial" w:cs="Arial"/>
      <w:sz w:val="40"/>
      <w:szCs w:val="40"/>
    </w:rPr>
  </w:style>
  <w:style w:type="character" w:styleId="784">
    <w:name w:val="Heading 2 Char"/>
    <w:basedOn w:val="829"/>
    <w:link w:val="821"/>
    <w:uiPriority w:val="9"/>
    <w:rPr>
      <w:rFonts w:ascii="Arial" w:hAnsi="Arial" w:eastAsia="Arial" w:cs="Arial"/>
      <w:sz w:val="34"/>
    </w:rPr>
  </w:style>
  <w:style w:type="character" w:styleId="785">
    <w:name w:val="Heading 3 Char"/>
    <w:basedOn w:val="829"/>
    <w:link w:val="822"/>
    <w:uiPriority w:val="9"/>
    <w:rPr>
      <w:rFonts w:ascii="Arial" w:hAnsi="Arial" w:eastAsia="Arial" w:cs="Arial"/>
      <w:sz w:val="30"/>
      <w:szCs w:val="30"/>
    </w:rPr>
  </w:style>
  <w:style w:type="character" w:styleId="786">
    <w:name w:val="Heading 4 Char"/>
    <w:basedOn w:val="829"/>
    <w:link w:val="823"/>
    <w:uiPriority w:val="9"/>
    <w:rPr>
      <w:rFonts w:ascii="Arial" w:hAnsi="Arial" w:eastAsia="Arial" w:cs="Arial"/>
      <w:b/>
      <w:bCs/>
      <w:sz w:val="26"/>
      <w:szCs w:val="26"/>
    </w:rPr>
  </w:style>
  <w:style w:type="character" w:styleId="787">
    <w:name w:val="Heading 5 Char"/>
    <w:basedOn w:val="829"/>
    <w:link w:val="824"/>
    <w:uiPriority w:val="9"/>
    <w:rPr>
      <w:rFonts w:ascii="Arial" w:hAnsi="Arial" w:eastAsia="Arial" w:cs="Arial"/>
      <w:b/>
      <w:bCs/>
      <w:sz w:val="24"/>
      <w:szCs w:val="24"/>
    </w:rPr>
  </w:style>
  <w:style w:type="character" w:styleId="788">
    <w:name w:val="Heading 6 Char"/>
    <w:basedOn w:val="829"/>
    <w:link w:val="825"/>
    <w:uiPriority w:val="9"/>
    <w:rPr>
      <w:rFonts w:ascii="Arial" w:hAnsi="Arial" w:eastAsia="Arial" w:cs="Arial"/>
      <w:b/>
      <w:bCs/>
      <w:sz w:val="22"/>
      <w:szCs w:val="22"/>
    </w:rPr>
  </w:style>
  <w:style w:type="character" w:styleId="789">
    <w:name w:val="Heading 7 Char"/>
    <w:basedOn w:val="829"/>
    <w:link w:val="826"/>
    <w:uiPriority w:val="9"/>
    <w:rPr>
      <w:rFonts w:ascii="Arial" w:hAnsi="Arial" w:eastAsia="Arial" w:cs="Arial"/>
      <w:b/>
      <w:bCs/>
      <w:i/>
      <w:iCs/>
      <w:sz w:val="22"/>
      <w:szCs w:val="22"/>
    </w:rPr>
  </w:style>
  <w:style w:type="character" w:styleId="790">
    <w:name w:val="Heading 8 Char"/>
    <w:basedOn w:val="829"/>
    <w:link w:val="827"/>
    <w:uiPriority w:val="9"/>
    <w:rPr>
      <w:rFonts w:ascii="Arial" w:hAnsi="Arial" w:eastAsia="Arial" w:cs="Arial"/>
      <w:i/>
      <w:iCs/>
      <w:sz w:val="22"/>
      <w:szCs w:val="22"/>
    </w:rPr>
  </w:style>
  <w:style w:type="character" w:styleId="791">
    <w:name w:val="Heading 9 Char"/>
    <w:basedOn w:val="829"/>
    <w:link w:val="828"/>
    <w:uiPriority w:val="9"/>
    <w:rPr>
      <w:rFonts w:ascii="Arial" w:hAnsi="Arial" w:eastAsia="Arial" w:cs="Arial"/>
      <w:i/>
      <w:iCs/>
      <w:sz w:val="21"/>
      <w:szCs w:val="21"/>
    </w:rPr>
  </w:style>
  <w:style w:type="character" w:styleId="792">
    <w:name w:val="Title Char"/>
    <w:basedOn w:val="829"/>
    <w:link w:val="860"/>
    <w:uiPriority w:val="10"/>
    <w:rPr>
      <w:sz w:val="48"/>
      <w:szCs w:val="48"/>
    </w:rPr>
  </w:style>
  <w:style w:type="character" w:styleId="793">
    <w:name w:val="Subtitle Char"/>
    <w:basedOn w:val="829"/>
    <w:link w:val="852"/>
    <w:uiPriority w:val="11"/>
    <w:rPr>
      <w:sz w:val="24"/>
      <w:szCs w:val="24"/>
    </w:rPr>
  </w:style>
  <w:style w:type="character" w:styleId="794">
    <w:name w:val="Quote Char"/>
    <w:link w:val="883"/>
    <w:uiPriority w:val="29"/>
    <w:rPr>
      <w:i/>
    </w:rPr>
  </w:style>
  <w:style w:type="character" w:styleId="795">
    <w:name w:val="Intense Quote Char"/>
    <w:link w:val="885"/>
    <w:uiPriority w:val="30"/>
    <w:rPr>
      <w:i/>
    </w:rPr>
  </w:style>
  <w:style w:type="character" w:styleId="796">
    <w:name w:val="Caption Char"/>
    <w:basedOn w:val="835"/>
    <w:link w:val="845"/>
    <w:uiPriority w:val="99"/>
  </w:style>
  <w:style w:type="table" w:styleId="797">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6">
    <w:name w:val="Footnote Text Char"/>
    <w:link w:val="853"/>
    <w:uiPriority w:val="99"/>
    <w:rPr>
      <w:sz w:val="18"/>
    </w:rPr>
  </w:style>
  <w:style w:type="character" w:styleId="817">
    <w:name w:val="Endnote Text Char"/>
    <w:link w:val="843"/>
    <w:uiPriority w:val="99"/>
    <w:rPr>
      <w:sz w:val="20"/>
    </w:rPr>
  </w:style>
  <w:style w:type="paragraph" w:styleId="818">
    <w:name w:val="TOC Heading"/>
    <w:uiPriority w:val="39"/>
    <w:unhideWhenUsed/>
  </w:style>
  <w:style w:type="paragraph" w:styleId="819" w:default="1">
    <w:name w:val="Normal"/>
    <w:next w:val="832"/>
    <w:qFormat/>
    <w:pPr>
      <w:jc w:val="both"/>
      <w:widowControl w:val="off"/>
    </w:pPr>
    <w:rPr>
      <w:rFonts w:eastAsia="楷体_GB2312"/>
      <w:sz w:val="26"/>
    </w:rPr>
  </w:style>
  <w:style w:type="paragraph" w:styleId="820">
    <w:name w:val="Heading 1"/>
    <w:basedOn w:val="819"/>
    <w:next w:val="819"/>
    <w:link w:val="870"/>
    <w:qFormat/>
    <w:pPr>
      <w:jc w:val="center"/>
      <w:keepLines/>
      <w:keepNext/>
      <w:spacing w:line="360" w:lineRule="auto"/>
      <w:outlineLvl w:val="0"/>
    </w:pPr>
    <w:rPr>
      <w:rFonts w:eastAsia="宋体"/>
      <w:b/>
      <w:sz w:val="32"/>
    </w:rPr>
  </w:style>
  <w:style w:type="paragraph" w:styleId="821">
    <w:name w:val="Heading 2"/>
    <w:basedOn w:val="819"/>
    <w:next w:val="819"/>
    <w:link w:val="871"/>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72"/>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3"/>
    <w:uiPriority w:val="9"/>
    <w:unhideWhenUsed/>
    <w:qFormat/>
    <w:pPr>
      <w:keepLines/>
      <w:keepNext/>
      <w:spacing w:before="320" w:after="200"/>
      <w:outlineLvl w:val="3"/>
    </w:pPr>
    <w:rPr>
      <w:rFonts w:ascii="Arial" w:hAnsi="Arial" w:eastAsia="Arial" w:cs="Arial"/>
      <w:b/>
      <w:bCs/>
      <w:szCs w:val="26"/>
    </w:rPr>
  </w:style>
  <w:style w:type="paragraph" w:styleId="824">
    <w:name w:val="Heading 5"/>
    <w:basedOn w:val="819"/>
    <w:next w:val="819"/>
    <w:link w:val="874"/>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75"/>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77"/>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78"/>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Body Text"/>
    <w:basedOn w:val="819"/>
    <w:next w:val="819"/>
    <w:link w:val="1061"/>
    <w:uiPriority w:val="99"/>
    <w:qFormat/>
    <w:rPr>
      <w:rFonts w:ascii="楷体_GB2312" w:hAnsi="Arial"/>
      <w:sz w:val="28"/>
    </w:rPr>
  </w:style>
  <w:style w:type="paragraph" w:styleId="833">
    <w:name w:val="toc 7"/>
    <w:basedOn w:val="819"/>
    <w:next w:val="819"/>
    <w:uiPriority w:val="39"/>
    <w:unhideWhenUsed/>
    <w:qFormat/>
    <w:pPr>
      <w:ind w:left="1701"/>
      <w:spacing w:after="57"/>
    </w:pPr>
  </w:style>
  <w:style w:type="paragraph" w:styleId="834">
    <w:name w:val="Normal Indent"/>
    <w:basedOn w:val="819"/>
    <w:next w:val="819"/>
    <w:uiPriority w:val="99"/>
    <w:qFormat/>
    <w:pPr>
      <w:ind w:firstLine="200"/>
    </w:pPr>
  </w:style>
  <w:style w:type="paragraph" w:styleId="835">
    <w:name w:val="Caption"/>
    <w:basedOn w:val="819"/>
    <w:next w:val="819"/>
    <w:uiPriority w:val="35"/>
    <w:semiHidden/>
    <w:unhideWhenUsed/>
    <w:qFormat/>
    <w:pPr>
      <w:spacing w:line="276" w:lineRule="auto"/>
    </w:pPr>
    <w:rPr>
      <w:b/>
      <w:bCs/>
      <w:color w:val="4f81bd"/>
      <w:sz w:val="18"/>
      <w:szCs w:val="18"/>
    </w:rPr>
  </w:style>
  <w:style w:type="paragraph" w:styleId="836">
    <w:name w:val="annotation text"/>
    <w:basedOn w:val="819"/>
    <w:link w:val="1052"/>
    <w:uiPriority w:val="99"/>
    <w:semiHidden/>
    <w:unhideWhenUsed/>
    <w:qFormat/>
    <w:pPr>
      <w:jc w:val="left"/>
    </w:pPr>
  </w:style>
  <w:style w:type="paragraph" w:styleId="837">
    <w:name w:val="Body Text Indent"/>
    <w:basedOn w:val="819"/>
    <w:qFormat/>
    <w:pPr>
      <w:ind w:firstLine="645"/>
    </w:pPr>
    <w:rPr>
      <w:rFonts w:ascii="楷体_GB2312" w:hAnsi="Calibri"/>
      <w:sz w:val="32"/>
      <w:szCs w:val="22"/>
    </w:rPr>
  </w:style>
  <w:style w:type="paragraph" w:styleId="838">
    <w:name w:val="Block Text"/>
    <w:basedOn w:val="819"/>
    <w:qFormat/>
    <w:pPr>
      <w:ind w:left="525" w:right="-1" w:firstLine="525"/>
      <w:spacing w:line="312" w:lineRule="atLeast"/>
    </w:pPr>
    <w:rPr>
      <w:sz w:val="28"/>
      <w:szCs w:val="28"/>
    </w:rPr>
  </w:style>
  <w:style w:type="paragraph" w:styleId="839">
    <w:name w:val="toc 5"/>
    <w:basedOn w:val="819"/>
    <w:next w:val="819"/>
    <w:uiPriority w:val="39"/>
    <w:unhideWhenUsed/>
    <w:qFormat/>
    <w:pPr>
      <w:ind w:left="1134"/>
      <w:spacing w:after="57"/>
    </w:pPr>
  </w:style>
  <w:style w:type="paragraph" w:styleId="840">
    <w:name w:val="toc 3"/>
    <w:basedOn w:val="819"/>
    <w:next w:val="819"/>
    <w:uiPriority w:val="39"/>
    <w:unhideWhenUsed/>
    <w:qFormat/>
    <w:pPr>
      <w:ind w:left="567"/>
      <w:spacing w:after="57"/>
    </w:pPr>
  </w:style>
  <w:style w:type="paragraph" w:styleId="841">
    <w:name w:val="Plain Text"/>
    <w:basedOn w:val="819"/>
    <w:next w:val="834"/>
    <w:qFormat/>
    <w:rPr>
      <w:rFonts w:ascii="宋体"/>
    </w:rPr>
  </w:style>
  <w:style w:type="paragraph" w:styleId="842">
    <w:name w:val="toc 8"/>
    <w:basedOn w:val="819"/>
    <w:next w:val="819"/>
    <w:uiPriority w:val="39"/>
    <w:unhideWhenUsed/>
    <w:qFormat/>
    <w:pPr>
      <w:ind w:left="1984"/>
      <w:spacing w:after="57"/>
    </w:pPr>
  </w:style>
  <w:style w:type="paragraph" w:styleId="843">
    <w:name w:val="endnote text"/>
    <w:basedOn w:val="819"/>
    <w:link w:val="1016"/>
    <w:uiPriority w:val="99"/>
    <w:semiHidden/>
    <w:unhideWhenUsed/>
    <w:qFormat/>
    <w:rPr>
      <w:sz w:val="20"/>
    </w:rPr>
  </w:style>
  <w:style w:type="paragraph" w:styleId="844">
    <w:name w:val="Balloon Text"/>
    <w:basedOn w:val="819"/>
    <w:link w:val="1048"/>
    <w:uiPriority w:val="99"/>
    <w:semiHidden/>
    <w:unhideWhenUsed/>
    <w:qFormat/>
    <w:rPr>
      <w:sz w:val="18"/>
      <w:szCs w:val="18"/>
    </w:rPr>
  </w:style>
  <w:style w:type="paragraph" w:styleId="845">
    <w:name w:val="Footer"/>
    <w:basedOn w:val="819"/>
    <w:link w:val="889"/>
    <w:uiPriority w:val="99"/>
    <w:unhideWhenUsed/>
    <w:qFormat/>
    <w:pPr>
      <w:tabs>
        <w:tab w:val="center" w:pos="7143" w:leader="none"/>
        <w:tab w:val="right" w:pos="14287" w:leader="none"/>
      </w:tabs>
    </w:pPr>
  </w:style>
  <w:style w:type="paragraph" w:styleId="846">
    <w:name w:val="envelope return"/>
    <w:basedOn w:val="847"/>
    <w:uiPriority w:val="99"/>
    <w:unhideWhenUsed/>
    <w:qFormat/>
    <w:rPr>
      <w:rFonts w:ascii="Arial" w:hAnsi="Arial"/>
    </w:rPr>
  </w:style>
  <w:style w:type="paragraph" w:styleId="847" w:customStyle="1">
    <w:name w:val="Normal_19"/>
    <w:next w:val="848"/>
    <w:qFormat/>
    <w:pPr>
      <w:jc w:val="both"/>
      <w:widowControl w:val="off"/>
    </w:pPr>
    <w:rPr>
      <w:sz w:val="21"/>
      <w:szCs w:val="24"/>
    </w:rPr>
  </w:style>
  <w:style w:type="paragraph" w:styleId="848" w:customStyle="1">
    <w:name w:val="正文文本缩进1"/>
    <w:basedOn w:val="819"/>
    <w:next w:val="846"/>
    <w:unhideWhenUsed/>
    <w:qFormat/>
    <w:pPr>
      <w:ind w:firstLine="570"/>
    </w:pPr>
    <w:rPr>
      <w:rFonts w:ascii="宋体" w:eastAsia="宋体"/>
      <w:sz w:val="28"/>
    </w:rPr>
  </w:style>
  <w:style w:type="paragraph" w:styleId="849">
    <w:name w:val="Header"/>
    <w:basedOn w:val="819"/>
    <w:link w:val="1018"/>
    <w:qFormat/>
    <w:pPr>
      <w:jc w:val="center"/>
      <w:tabs>
        <w:tab w:val="center" w:pos="4153" w:leader="none"/>
        <w:tab w:val="right" w:pos="8306" w:leader="none"/>
      </w:tabs>
    </w:pPr>
    <w:rPr>
      <w:sz w:val="18"/>
      <w:szCs w:val="18"/>
    </w:rPr>
  </w:style>
  <w:style w:type="paragraph" w:styleId="850">
    <w:name w:val="toc 1"/>
    <w:basedOn w:val="819"/>
    <w:next w:val="819"/>
    <w:uiPriority w:val="39"/>
    <w:unhideWhenUsed/>
    <w:qFormat/>
    <w:pPr>
      <w:spacing w:after="57"/>
    </w:pPr>
  </w:style>
  <w:style w:type="paragraph" w:styleId="851">
    <w:name w:val="toc 4"/>
    <w:basedOn w:val="819"/>
    <w:next w:val="819"/>
    <w:uiPriority w:val="39"/>
    <w:unhideWhenUsed/>
    <w:qFormat/>
    <w:pPr>
      <w:ind w:left="850"/>
      <w:spacing w:after="57"/>
    </w:pPr>
  </w:style>
  <w:style w:type="paragraph" w:styleId="852">
    <w:name w:val="Subtitle"/>
    <w:basedOn w:val="819"/>
    <w:next w:val="819"/>
    <w:link w:val="882"/>
    <w:uiPriority w:val="11"/>
    <w:qFormat/>
    <w:pPr>
      <w:spacing w:before="200" w:after="200"/>
    </w:pPr>
    <w:rPr>
      <w:sz w:val="24"/>
      <w:szCs w:val="24"/>
    </w:rPr>
  </w:style>
  <w:style w:type="paragraph" w:styleId="853">
    <w:name w:val="footnote text"/>
    <w:basedOn w:val="819"/>
    <w:link w:val="1015"/>
    <w:uiPriority w:val="99"/>
    <w:semiHidden/>
    <w:unhideWhenUsed/>
    <w:qFormat/>
    <w:pPr>
      <w:spacing w:after="40"/>
    </w:pPr>
    <w:rPr>
      <w:sz w:val="18"/>
    </w:rPr>
  </w:style>
  <w:style w:type="paragraph" w:styleId="854">
    <w:name w:val="toc 6"/>
    <w:basedOn w:val="819"/>
    <w:next w:val="819"/>
    <w:uiPriority w:val="39"/>
    <w:unhideWhenUsed/>
    <w:qFormat/>
    <w:pPr>
      <w:ind w:left="1417"/>
      <w:spacing w:after="57"/>
    </w:pPr>
  </w:style>
  <w:style w:type="paragraph" w:styleId="855">
    <w:name w:val="table of figures"/>
    <w:basedOn w:val="819"/>
    <w:next w:val="819"/>
    <w:uiPriority w:val="99"/>
    <w:unhideWhenUsed/>
    <w:qFormat/>
  </w:style>
  <w:style w:type="paragraph" w:styleId="856">
    <w:name w:val="toc 2"/>
    <w:basedOn w:val="819"/>
    <w:next w:val="819"/>
    <w:uiPriority w:val="39"/>
    <w:unhideWhenUsed/>
    <w:qFormat/>
    <w:pPr>
      <w:ind w:left="283"/>
      <w:spacing w:after="57"/>
    </w:pPr>
  </w:style>
  <w:style w:type="paragraph" w:styleId="857">
    <w:name w:val="toc 9"/>
    <w:basedOn w:val="819"/>
    <w:next w:val="819"/>
    <w:uiPriority w:val="39"/>
    <w:unhideWhenUsed/>
    <w:qFormat/>
    <w:pPr>
      <w:ind w:left="2268"/>
      <w:spacing w:after="57"/>
    </w:pPr>
  </w:style>
  <w:style w:type="paragraph" w:styleId="858">
    <w:name w:val="HTML Preformatted"/>
    <w:basedOn w:val="819"/>
    <w:link w:val="1060"/>
    <w:uiPriority w:val="99"/>
    <w:semiHidden/>
    <w:unhideWhenUsed/>
    <w:qFormat/>
    <w:rPr>
      <w:rFonts w:ascii="Courier New" w:hAnsi="Courier New" w:cs="Courier New"/>
      <w:sz w:val="20"/>
    </w:rPr>
  </w:style>
  <w:style w:type="paragraph" w:styleId="859">
    <w:name w:val="Normal (Web)"/>
    <w:basedOn w:val="819"/>
    <w:uiPriority w:val="99"/>
    <w:qFormat/>
    <w:pPr>
      <w:jc w:val="left"/>
      <w:spacing w:before="100" w:beforeAutospacing="1" w:after="100" w:afterAutospacing="1"/>
      <w:widowControl/>
    </w:pPr>
    <w:rPr>
      <w:rFonts w:ascii="宋体" w:hAnsi="宋体"/>
      <w:color w:val="000000"/>
      <w:sz w:val="24"/>
      <w:szCs w:val="24"/>
    </w:rPr>
  </w:style>
  <w:style w:type="paragraph" w:styleId="860">
    <w:name w:val="Title"/>
    <w:basedOn w:val="819"/>
    <w:next w:val="819"/>
    <w:link w:val="881"/>
    <w:uiPriority w:val="10"/>
    <w:qFormat/>
    <w:pPr>
      <w:contextualSpacing/>
      <w:spacing w:before="300" w:after="200"/>
    </w:pPr>
    <w:rPr>
      <w:sz w:val="48"/>
      <w:szCs w:val="48"/>
    </w:rPr>
  </w:style>
  <w:style w:type="paragraph" w:styleId="861">
    <w:name w:val="Body Text First Indent"/>
    <w:basedOn w:val="832"/>
    <w:next w:val="862"/>
    <w:qFormat/>
    <w:pPr>
      <w:ind w:firstLine="420"/>
    </w:pPr>
  </w:style>
  <w:style w:type="paragraph" w:styleId="862">
    <w:name w:val="Body Text First Indent 2"/>
    <w:basedOn w:val="837"/>
    <w:uiPriority w:val="99"/>
    <w:unhideWhenUsed/>
    <w:qFormat/>
    <w:pPr>
      <w:ind w:firstLine="200"/>
    </w:pPr>
  </w:style>
  <w:style w:type="table" w:styleId="863">
    <w:name w:val="Table Grid"/>
    <w:basedOn w:val="83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endnote reference"/>
    <w:uiPriority w:val="99"/>
    <w:semiHidden/>
    <w:unhideWhenUsed/>
    <w:qFormat/>
    <w:rPr>
      <w:vertAlign w:val="superscript"/>
    </w:rPr>
  </w:style>
  <w:style w:type="character" w:styleId="865">
    <w:name w:val="Emphasis"/>
    <w:qFormat/>
    <w:rPr>
      <w:rFonts w:ascii="Times New Roman" w:hAnsi="Times New Roman" w:eastAsia="宋体" w:cs="Times New Roman"/>
      <w:i/>
    </w:rPr>
  </w:style>
  <w:style w:type="character" w:styleId="866">
    <w:name w:val="Hyperlink"/>
    <w:uiPriority w:val="99"/>
    <w:unhideWhenUsed/>
    <w:qFormat/>
    <w:rPr>
      <w:color w:val="0563c1"/>
      <w:u w:val="single"/>
    </w:rPr>
  </w:style>
  <w:style w:type="character" w:styleId="867">
    <w:name w:val="annotation reference"/>
    <w:basedOn w:val="829"/>
    <w:uiPriority w:val="99"/>
    <w:semiHidden/>
    <w:unhideWhenUsed/>
    <w:qFormat/>
    <w:rPr>
      <w:sz w:val="21"/>
      <w:szCs w:val="21"/>
    </w:rPr>
  </w:style>
  <w:style w:type="character" w:styleId="868">
    <w:name w:val="footnote reference"/>
    <w:uiPriority w:val="99"/>
    <w:unhideWhenUsed/>
    <w:qFormat/>
    <w:rPr>
      <w:vertAlign w:val="superscript"/>
    </w:rPr>
  </w:style>
  <w:style w:type="paragraph" w:styleId="869" w:customStyle="1">
    <w:name w:val="标题 31"/>
    <w:basedOn w:val="819"/>
    <w:next w:val="819"/>
    <w:qFormat/>
    <w:pPr>
      <w:keepLines/>
      <w:keepNext/>
      <w:spacing w:before="260" w:after="260" w:line="416" w:lineRule="auto"/>
      <w:outlineLvl w:val="2"/>
    </w:pPr>
    <w:rPr>
      <w:b/>
      <w:bCs/>
      <w:sz w:val="32"/>
      <w:szCs w:val="32"/>
    </w:rPr>
  </w:style>
  <w:style w:type="character" w:styleId="870" w:customStyle="1">
    <w:name w:val="标题 1 字符"/>
    <w:link w:val="820"/>
    <w:qFormat/>
    <w:rPr>
      <w:rFonts w:ascii="Arial" w:hAnsi="Arial" w:eastAsia="Arial" w:cs="Arial"/>
      <w:sz w:val="40"/>
      <w:szCs w:val="40"/>
    </w:rPr>
  </w:style>
  <w:style w:type="character" w:styleId="871" w:customStyle="1">
    <w:name w:val="标题 2 字符"/>
    <w:link w:val="821"/>
    <w:uiPriority w:val="9"/>
    <w:qFormat/>
    <w:rPr>
      <w:rFonts w:ascii="Arial" w:hAnsi="Arial" w:eastAsia="Arial" w:cs="Arial"/>
      <w:sz w:val="34"/>
    </w:rPr>
  </w:style>
  <w:style w:type="character" w:styleId="872" w:customStyle="1">
    <w:name w:val="标题 3 字符"/>
    <w:link w:val="822"/>
    <w:uiPriority w:val="9"/>
    <w:qFormat/>
    <w:rPr>
      <w:rFonts w:ascii="Arial" w:hAnsi="Arial" w:eastAsia="Arial" w:cs="Arial"/>
      <w:sz w:val="30"/>
      <w:szCs w:val="30"/>
    </w:rPr>
  </w:style>
  <w:style w:type="character" w:styleId="873" w:customStyle="1">
    <w:name w:val="标题 4 字符"/>
    <w:link w:val="823"/>
    <w:uiPriority w:val="9"/>
    <w:qFormat/>
    <w:rPr>
      <w:rFonts w:ascii="Arial" w:hAnsi="Arial" w:eastAsia="Arial" w:cs="Arial"/>
      <w:b/>
      <w:bCs/>
      <w:sz w:val="26"/>
      <w:szCs w:val="26"/>
    </w:rPr>
  </w:style>
  <w:style w:type="character" w:styleId="874" w:customStyle="1">
    <w:name w:val="标题 5 字符"/>
    <w:link w:val="824"/>
    <w:uiPriority w:val="9"/>
    <w:qFormat/>
    <w:rPr>
      <w:rFonts w:ascii="Arial" w:hAnsi="Arial" w:eastAsia="Arial" w:cs="Arial"/>
      <w:b/>
      <w:bCs/>
      <w:sz w:val="24"/>
      <w:szCs w:val="24"/>
    </w:rPr>
  </w:style>
  <w:style w:type="character" w:styleId="875" w:customStyle="1">
    <w:name w:val="标题 6 字符"/>
    <w:link w:val="825"/>
    <w:uiPriority w:val="9"/>
    <w:qFormat/>
    <w:rPr>
      <w:rFonts w:ascii="Arial" w:hAnsi="Arial" w:eastAsia="Arial" w:cs="Arial"/>
      <w:b/>
      <w:bCs/>
      <w:sz w:val="22"/>
      <w:szCs w:val="22"/>
    </w:rPr>
  </w:style>
  <w:style w:type="character" w:styleId="876" w:customStyle="1">
    <w:name w:val="标题 7 字符"/>
    <w:link w:val="826"/>
    <w:uiPriority w:val="9"/>
    <w:qFormat/>
    <w:rPr>
      <w:rFonts w:ascii="Arial" w:hAnsi="Arial" w:eastAsia="Arial" w:cs="Arial"/>
      <w:b/>
      <w:bCs/>
      <w:i/>
      <w:iCs/>
      <w:sz w:val="22"/>
      <w:szCs w:val="22"/>
    </w:rPr>
  </w:style>
  <w:style w:type="character" w:styleId="877" w:customStyle="1">
    <w:name w:val="标题 8 字符"/>
    <w:link w:val="827"/>
    <w:uiPriority w:val="9"/>
    <w:qFormat/>
    <w:rPr>
      <w:rFonts w:ascii="Arial" w:hAnsi="Arial" w:eastAsia="Arial" w:cs="Arial"/>
      <w:i/>
      <w:iCs/>
      <w:sz w:val="22"/>
      <w:szCs w:val="22"/>
    </w:rPr>
  </w:style>
  <w:style w:type="character" w:styleId="878" w:customStyle="1">
    <w:name w:val="标题 9 字符"/>
    <w:link w:val="828"/>
    <w:uiPriority w:val="9"/>
    <w:qFormat/>
    <w:rPr>
      <w:rFonts w:ascii="Arial" w:hAnsi="Arial" w:eastAsia="Arial" w:cs="Arial"/>
      <w:i/>
      <w:iCs/>
      <w:sz w:val="21"/>
      <w:szCs w:val="21"/>
    </w:rPr>
  </w:style>
  <w:style w:type="paragraph" w:styleId="879">
    <w:name w:val="List Paragraph"/>
    <w:basedOn w:val="819"/>
    <w:qFormat/>
    <w:pPr>
      <w:ind w:firstLine="420"/>
    </w:pPr>
  </w:style>
  <w:style w:type="paragraph" w:styleId="880">
    <w:name w:val="No Spacing"/>
    <w:uiPriority w:val="1"/>
    <w:qFormat/>
  </w:style>
  <w:style w:type="character" w:styleId="881" w:customStyle="1">
    <w:name w:val="标题 字符"/>
    <w:link w:val="860"/>
    <w:uiPriority w:val="10"/>
    <w:qFormat/>
    <w:rPr>
      <w:sz w:val="48"/>
      <w:szCs w:val="48"/>
    </w:rPr>
  </w:style>
  <w:style w:type="character" w:styleId="882" w:customStyle="1">
    <w:name w:val="副标题 字符"/>
    <w:link w:val="852"/>
    <w:uiPriority w:val="11"/>
    <w:qFormat/>
    <w:rPr>
      <w:sz w:val="24"/>
      <w:szCs w:val="24"/>
    </w:rPr>
  </w:style>
  <w:style w:type="paragraph" w:styleId="883">
    <w:name w:val="Quote"/>
    <w:basedOn w:val="819"/>
    <w:next w:val="819"/>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19"/>
    <w:next w:val="819"/>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Header Char"/>
    <w:uiPriority w:val="99"/>
    <w:qFormat/>
  </w:style>
  <w:style w:type="character" w:styleId="888" w:customStyle="1">
    <w:name w:val="Footer Char"/>
    <w:uiPriority w:val="99"/>
    <w:qFormat/>
  </w:style>
  <w:style w:type="character" w:styleId="889" w:customStyle="1">
    <w:name w:val="页脚 字符"/>
    <w:link w:val="845"/>
    <w:uiPriority w:val="99"/>
    <w:qFormat/>
  </w:style>
  <w:style w:type="table" w:styleId="8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3" w:customStyle="1">
    <w:name w:val="无格式表格 31"/>
    <w:uiPriority w:val="99"/>
    <w:qFormat/>
    <w:tblPr>
      <w:tblCellMar>
        <w:left w:w="0" w:type="dxa"/>
        <w:top w:w="0" w:type="dxa"/>
        <w:right w:w="0" w:type="dxa"/>
        <w:bottom w:w="0" w:type="dxa"/>
      </w:tblCellMar>
    </w:tblPr>
  </w:style>
  <w:style w:type="table" w:styleId="894" w:customStyle="1">
    <w:name w:val="无格式表格 41"/>
    <w:uiPriority w:val="99"/>
    <w:qFormat/>
    <w:tblPr>
      <w:tblCellMar>
        <w:left w:w="0" w:type="dxa"/>
        <w:top w:w="0" w:type="dxa"/>
        <w:right w:w="0" w:type="dxa"/>
        <w:bottom w:w="0" w:type="dxa"/>
      </w:tblCellMar>
    </w:tblPr>
  </w:style>
  <w:style w:type="table" w:styleId="895" w:customStyle="1">
    <w:name w:val="无格式表格 51"/>
    <w:uiPriority w:val="99"/>
    <w:qFormat/>
    <w:tblPr>
      <w:tblCellMar>
        <w:left w:w="0" w:type="dxa"/>
        <w:top w:w="0" w:type="dxa"/>
        <w:right w:w="0" w:type="dxa"/>
        <w:bottom w:w="0" w:type="dxa"/>
      </w:tblCellMar>
    </w:tblPr>
  </w:style>
  <w:style w:type="table" w:styleId="89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清单表 1 浅色1"/>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4" w:customStyle="1">
    <w:name w:val="Lined - Accent"/>
    <w:uiPriority w:val="99"/>
    <w:qFormat/>
    <w:rPr>
      <w:color w:val="404040"/>
    </w:rPr>
    <w:tblPr>
      <w:tblCellMar>
        <w:left w:w="0" w:type="dxa"/>
        <w:top w:w="0" w:type="dxa"/>
        <w:right w:w="0" w:type="dxa"/>
        <w:bottom w:w="0" w:type="dxa"/>
      </w:tblCellMar>
    </w:tblPr>
  </w:style>
  <w:style w:type="table" w:styleId="995" w:customStyle="1">
    <w:name w:val="Lined - Accent 1"/>
    <w:uiPriority w:val="99"/>
    <w:qFormat/>
    <w:rPr>
      <w:color w:val="404040"/>
    </w:rPr>
    <w:tblPr>
      <w:tblCellMar>
        <w:left w:w="0" w:type="dxa"/>
        <w:top w:w="0" w:type="dxa"/>
        <w:right w:w="0" w:type="dxa"/>
        <w:bottom w:w="0" w:type="dxa"/>
      </w:tblCellMar>
    </w:tblPr>
  </w:style>
  <w:style w:type="table" w:styleId="996" w:customStyle="1">
    <w:name w:val="Lined - Accent 2"/>
    <w:uiPriority w:val="99"/>
    <w:qFormat/>
    <w:rPr>
      <w:color w:val="404040"/>
    </w:rPr>
    <w:tblPr>
      <w:tblCellMar>
        <w:left w:w="0" w:type="dxa"/>
        <w:top w:w="0" w:type="dxa"/>
        <w:right w:w="0" w:type="dxa"/>
        <w:bottom w:w="0" w:type="dxa"/>
      </w:tblCellMar>
    </w:tblPr>
  </w:style>
  <w:style w:type="table" w:styleId="997" w:customStyle="1">
    <w:name w:val="Lined - Accent 3"/>
    <w:uiPriority w:val="99"/>
    <w:qFormat/>
    <w:rPr>
      <w:color w:val="404040"/>
    </w:rPr>
    <w:tblPr>
      <w:tblCellMar>
        <w:left w:w="0" w:type="dxa"/>
        <w:top w:w="0" w:type="dxa"/>
        <w:right w:w="0" w:type="dxa"/>
        <w:bottom w:w="0" w:type="dxa"/>
      </w:tblCellMar>
    </w:tblPr>
  </w:style>
  <w:style w:type="table" w:styleId="998" w:customStyle="1">
    <w:name w:val="Lined - Accent 4"/>
    <w:uiPriority w:val="99"/>
    <w:qFormat/>
    <w:rPr>
      <w:color w:val="404040"/>
    </w:rPr>
    <w:tblPr>
      <w:tblCellMar>
        <w:left w:w="0" w:type="dxa"/>
        <w:top w:w="0" w:type="dxa"/>
        <w:right w:w="0" w:type="dxa"/>
        <w:bottom w:w="0" w:type="dxa"/>
      </w:tblCellMar>
    </w:tblPr>
  </w:style>
  <w:style w:type="table" w:styleId="999" w:customStyle="1">
    <w:name w:val="Lined - Accent 5"/>
    <w:uiPriority w:val="99"/>
    <w:qFormat/>
    <w:rPr>
      <w:color w:val="404040"/>
    </w:rPr>
    <w:tblPr>
      <w:tblCellMar>
        <w:left w:w="0" w:type="dxa"/>
        <w:top w:w="0" w:type="dxa"/>
        <w:right w:w="0" w:type="dxa"/>
        <w:bottom w:w="0" w:type="dxa"/>
      </w:tblCellMar>
    </w:tblPr>
  </w:style>
  <w:style w:type="table" w:styleId="1000" w:customStyle="1">
    <w:name w:val="Lined - Accent 6"/>
    <w:uiPriority w:val="99"/>
    <w:qFormat/>
    <w:rPr>
      <w:color w:val="404040"/>
    </w:rPr>
    <w:tblPr>
      <w:tblCellMar>
        <w:left w:w="0" w:type="dxa"/>
        <w:top w:w="0" w:type="dxa"/>
        <w:right w:w="0" w:type="dxa"/>
        <w:bottom w:w="0" w:type="dxa"/>
      </w:tblCellMar>
    </w:tblPr>
  </w:style>
  <w:style w:type="table" w:styleId="10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5" w:customStyle="1">
    <w:name w:val="脚注文本 字符"/>
    <w:link w:val="853"/>
    <w:uiPriority w:val="99"/>
    <w:qFormat/>
    <w:rPr>
      <w:sz w:val="18"/>
    </w:rPr>
  </w:style>
  <w:style w:type="character" w:styleId="1016" w:customStyle="1">
    <w:name w:val="尾注文本 字符"/>
    <w:link w:val="843"/>
    <w:uiPriority w:val="99"/>
    <w:qFormat/>
    <w:rPr>
      <w:sz w:val="20"/>
    </w:rPr>
  </w:style>
  <w:style w:type="paragraph" w:styleId="1017" w:customStyle="1">
    <w:name w:val="TOC 标题1"/>
    <w:uiPriority w:val="39"/>
    <w:unhideWhenUsed/>
    <w:qFormat/>
  </w:style>
  <w:style w:type="character" w:styleId="1018" w:customStyle="1">
    <w:name w:val="页眉 字符"/>
    <w:link w:val="849"/>
    <w:qFormat/>
    <w:rPr>
      <w:rFonts w:ascii="Times New Roman" w:hAnsi="Times New Roman" w:eastAsia="楷体_GB2312"/>
      <w:sz w:val="18"/>
      <w:szCs w:val="18"/>
    </w:rPr>
  </w:style>
  <w:style w:type="paragraph" w:styleId="1019" w:customStyle="1">
    <w:name w:val="索引 41"/>
    <w:basedOn w:val="819"/>
    <w:next w:val="819"/>
    <w:qFormat/>
    <w:pPr>
      <w:ind w:left="600"/>
    </w:pPr>
    <w:rPr>
      <w:szCs w:val="21"/>
    </w:rPr>
  </w:style>
  <w:style w:type="paragraph" w:styleId="1020" w:customStyle="1">
    <w:name w:val="正文首行缩进 21"/>
    <w:basedOn w:val="848"/>
    <w:uiPriority w:val="99"/>
    <w:unhideWhenUsed/>
    <w:qFormat/>
    <w:pPr>
      <w:ind w:firstLine="420"/>
    </w:pPr>
  </w:style>
  <w:style w:type="paragraph" w:styleId="1021" w:customStyle="1">
    <w:name w:val="目录 11"/>
    <w:basedOn w:val="819"/>
    <w:next w:val="819"/>
    <w:unhideWhenUsed/>
    <w:qFormat/>
    <w:pPr>
      <w:jc w:val="left"/>
    </w:pPr>
    <w:rPr>
      <w:sz w:val="24"/>
    </w:rPr>
  </w:style>
  <w:style w:type="paragraph" w:styleId="1022" w:customStyle="1">
    <w:name w:val="标题 21"/>
    <w:basedOn w:val="819"/>
    <w:next w:val="819"/>
    <w:qFormat/>
    <w:pPr>
      <w:keepLines/>
      <w:keepNext/>
      <w:spacing w:before="260" w:after="260" w:line="416" w:lineRule="auto"/>
      <w:outlineLvl w:val="1"/>
    </w:pPr>
    <w:rPr>
      <w:rFonts w:ascii="Cambria" w:hAnsi="Cambria" w:eastAsia="宋体"/>
      <w:b/>
      <w:bCs/>
      <w:sz w:val="32"/>
      <w:szCs w:val="32"/>
    </w:rPr>
  </w:style>
  <w:style w:type="paragraph" w:styleId="1023" w:customStyle="1">
    <w:name w:val="Default"/>
    <w:qFormat/>
    <w:pPr>
      <w:widowControl w:val="off"/>
    </w:pPr>
    <w:rPr>
      <w:rFonts w:ascii="仿宋" w:eastAsia="仿宋" w:cs="仿宋"/>
      <w:color w:val="000000"/>
      <w:sz w:val="24"/>
      <w:szCs w:val="24"/>
    </w:rPr>
  </w:style>
  <w:style w:type="paragraph" w:styleId="1024" w:customStyle="1">
    <w:name w:val="纯文本1111"/>
    <w:basedOn w:val="819"/>
    <w:next w:val="1025"/>
    <w:unhideWhenUsed/>
    <w:qFormat/>
    <w:rPr>
      <w:rFonts w:ascii="宋体" w:hAnsi="Courier New"/>
    </w:rPr>
  </w:style>
  <w:style w:type="paragraph" w:styleId="1025" w:customStyle="1">
    <w:name w:val="正文缩进1"/>
    <w:basedOn w:val="819"/>
    <w:unhideWhenUsed/>
    <w:qFormat/>
    <w:pPr>
      <w:ind w:firstLine="420"/>
      <w:jc w:val="left"/>
    </w:pPr>
    <w:rPr>
      <w:sz w:val="24"/>
    </w:rPr>
  </w:style>
  <w:style w:type="paragraph" w:styleId="1026" w:customStyle="1">
    <w:name w:val="首行缩进"/>
    <w:basedOn w:val="819"/>
    <w:qFormat/>
    <w:pPr>
      <w:ind w:firstLine="480"/>
      <w:spacing w:line="360" w:lineRule="auto"/>
    </w:pPr>
    <w:rPr>
      <w:rFonts w:hAnsi="宋体" w:eastAsia="宋体" w:cs="宋体"/>
      <w:sz w:val="24"/>
      <w:szCs w:val="24"/>
    </w:rPr>
  </w:style>
  <w:style w:type="paragraph" w:styleId="1027" w:customStyle="1">
    <w:name w:val="Char"/>
    <w:basedOn w:val="819"/>
    <w:qFormat/>
  </w:style>
  <w:style w:type="paragraph" w:styleId="1028" w:customStyle="1">
    <w:name w:val="标题 11"/>
    <w:basedOn w:val="819"/>
    <w:next w:val="819"/>
    <w:qFormat/>
    <w:pPr>
      <w:keepLines/>
      <w:keepNext/>
      <w:spacing w:before="340" w:after="330" w:line="578" w:lineRule="auto"/>
      <w:outlineLvl w:val="0"/>
    </w:pPr>
    <w:rPr>
      <w:b/>
      <w:sz w:val="44"/>
    </w:rPr>
  </w:style>
  <w:style w:type="paragraph" w:styleId="1029" w:customStyle="1">
    <w:name w:val="纯文本1"/>
    <w:basedOn w:val="819"/>
    <w:qFormat/>
    <w:rPr>
      <w:rFonts w:ascii="宋体" w:hAnsi="Courier New"/>
    </w:rPr>
  </w:style>
  <w:style w:type="paragraph" w:styleId="1030" w:customStyle="1">
    <w:name w:val="正文2"/>
    <w:basedOn w:val="819"/>
    <w:qFormat/>
    <w:pPr>
      <w:ind w:firstLine="510"/>
      <w:spacing w:before="156" w:line="360" w:lineRule="auto"/>
    </w:pPr>
    <w:rPr>
      <w:sz w:val="24"/>
    </w:rPr>
  </w:style>
  <w:style w:type="character" w:styleId="1031" w:customStyle="1">
    <w:name w:val="要点1"/>
    <w:qFormat/>
    <w:rPr>
      <w:b/>
      <w:bCs/>
    </w:rPr>
  </w:style>
  <w:style w:type="paragraph" w:styleId="1032" w:customStyle="1">
    <w:name w:val="普通(网站)1"/>
    <w:basedOn w:val="819"/>
    <w:unhideWhenUsed/>
    <w:qFormat/>
    <w:pPr>
      <w:jc w:val="left"/>
      <w:spacing w:before="100" w:beforeAutospacing="1" w:after="100" w:afterAutospacing="1"/>
      <w:widowControl/>
    </w:pPr>
    <w:rPr>
      <w:rFonts w:ascii="宋体" w:hAnsi="宋体" w:cs="宋体"/>
      <w:sz w:val="24"/>
    </w:rPr>
  </w:style>
  <w:style w:type="paragraph" w:styleId="1033" w:customStyle="1">
    <w:name w:val="正文文本缩进 21"/>
    <w:basedOn w:val="819"/>
    <w:unhideWhenUsed/>
    <w:qFormat/>
    <w:pPr>
      <w:ind w:left="420"/>
      <w:spacing w:after="120" w:line="480" w:lineRule="auto"/>
    </w:pPr>
  </w:style>
  <w:style w:type="paragraph" w:styleId="1034" w:customStyle="1">
    <w:name w:val="纯文本11"/>
    <w:basedOn w:val="819"/>
    <w:uiPriority w:val="99"/>
    <w:qFormat/>
    <w:rPr>
      <w:rFonts w:ascii="宋体" w:hAnsi="Courier New"/>
    </w:rPr>
  </w:style>
  <w:style w:type="paragraph" w:styleId="1035" w:customStyle="1">
    <w:name w:val="索引 11"/>
    <w:basedOn w:val="819"/>
    <w:next w:val="819"/>
    <w:unhideWhenUsed/>
    <w:qFormat/>
    <w:pPr>
      <w:jc w:val="center"/>
      <w:spacing w:line="220" w:lineRule="exact"/>
    </w:pPr>
    <w:rPr>
      <w:rFonts w:ascii="仿宋_GB2312" w:eastAsia="仿宋_GB2312"/>
      <w:szCs w:val="21"/>
    </w:rPr>
  </w:style>
  <w:style w:type="paragraph" w:styleId="1036" w:customStyle="1">
    <w:name w:val="正文文本1"/>
    <w:basedOn w:val="819"/>
    <w:unhideWhenUsed/>
    <w:qFormat/>
    <w:rPr>
      <w:rFonts w:ascii="楷体_GB2312"/>
      <w:b/>
      <w:bCs/>
      <w:sz w:val="28"/>
    </w:rPr>
  </w:style>
  <w:style w:type="paragraph" w:styleId="1037" w:customStyle="1">
    <w:name w:val="页眉1"/>
    <w:basedOn w:val="819"/>
    <w:unhideWhenUsed/>
    <w:qFormat/>
    <w:pPr>
      <w:jc w:val="center"/>
      <w:tabs>
        <w:tab w:val="center" w:pos="4153" w:leader="none"/>
        <w:tab w:val="right" w:pos="8306" w:leader="none"/>
      </w:tabs>
      <w:pBdr>
        <w:bottom w:val="single" w:color="000000" w:sz="6" w:space="1"/>
      </w:pBdr>
    </w:pPr>
    <w:rPr>
      <w:sz w:val="18"/>
    </w:rPr>
  </w:style>
  <w:style w:type="paragraph" w:styleId="1038" w:customStyle="1">
    <w:name w:val="页脚1"/>
    <w:basedOn w:val="819"/>
    <w:unhideWhenUsed/>
    <w:qFormat/>
    <w:pPr>
      <w:jc w:val="left"/>
      <w:tabs>
        <w:tab w:val="center" w:pos="4153" w:leader="none"/>
        <w:tab w:val="right" w:pos="8306" w:leader="none"/>
      </w:tabs>
    </w:pPr>
    <w:rPr>
      <w:sz w:val="18"/>
    </w:rPr>
  </w:style>
  <w:style w:type="character" w:styleId="1039" w:customStyle="1">
    <w:name w:val="font81"/>
    <w:qFormat/>
    <w:rPr>
      <w:rFonts w:ascii="Times New Roman" w:hAnsi="Times New Roman" w:cs="Times New Roman"/>
      <w:color w:val="000000"/>
      <w:sz w:val="22"/>
      <w:szCs w:val="22"/>
      <w:u w:val="none"/>
    </w:rPr>
  </w:style>
  <w:style w:type="character" w:styleId="1040" w:customStyle="1">
    <w:name w:val="font11"/>
    <w:qFormat/>
    <w:rPr>
      <w:rFonts w:hint="eastAsia" w:ascii="仿宋" w:hAnsi="仿宋" w:eastAsia="仿宋" w:cs="仿宋"/>
      <w:color w:val="000000"/>
      <w:sz w:val="22"/>
      <w:szCs w:val="22"/>
      <w:u w:val="none"/>
    </w:rPr>
  </w:style>
  <w:style w:type="character" w:styleId="1041" w:customStyle="1">
    <w:name w:val="font101"/>
    <w:qFormat/>
    <w:rPr>
      <w:rFonts w:ascii="Arial" w:hAnsi="Arial" w:cs="Arial"/>
      <w:color w:val="000000"/>
      <w:sz w:val="22"/>
      <w:szCs w:val="22"/>
      <w:u w:val="none"/>
    </w:rPr>
  </w:style>
  <w:style w:type="paragraph" w:styleId="1042" w:customStyle="1">
    <w:name w:val="List Paragraph_f0420307-4c65-4cf4-ac34-e8950b7bacb1"/>
    <w:basedOn w:val="819"/>
    <w:qFormat/>
    <w:pPr>
      <w:ind w:firstLine="420"/>
    </w:pPr>
    <w:rPr>
      <w:rFonts w:eastAsia="宋体"/>
      <w:sz w:val="21"/>
      <w:szCs w:val="21"/>
    </w:rPr>
  </w:style>
  <w:style w:type="character" w:styleId="1043" w:customStyle="1">
    <w:name w:val="font51"/>
    <w:basedOn w:val="829"/>
    <w:qFormat/>
    <w:rPr>
      <w:rFonts w:hint="default" w:ascii="Times New Roman" w:hAnsi="Times New Roman" w:cs="Times New Roman"/>
      <w:color w:val="000000"/>
      <w:sz w:val="21"/>
      <w:szCs w:val="21"/>
      <w:u w:val="none"/>
    </w:rPr>
  </w:style>
  <w:style w:type="character" w:styleId="1044" w:customStyle="1">
    <w:name w:val="font31"/>
    <w:basedOn w:val="829"/>
    <w:qFormat/>
    <w:rPr>
      <w:rFonts w:hint="eastAsia" w:ascii="宋体" w:hAnsi="宋体" w:eastAsia="宋体" w:cs="宋体"/>
      <w:color w:val="000000"/>
      <w:sz w:val="21"/>
      <w:szCs w:val="21"/>
      <w:u w:val="none"/>
    </w:rPr>
  </w:style>
  <w:style w:type="character" w:styleId="1045" w:customStyle="1">
    <w:name w:val="font21"/>
    <w:basedOn w:val="829"/>
    <w:qFormat/>
    <w:rPr>
      <w:rFonts w:hint="default" w:ascii="Times New Roman" w:hAnsi="Times New Roman" w:cs="Times New Roman"/>
      <w:color w:val="000000"/>
      <w:sz w:val="21"/>
      <w:szCs w:val="21"/>
      <w:u w:val="none"/>
    </w:rPr>
  </w:style>
  <w:style w:type="character" w:styleId="1046" w:customStyle="1">
    <w:name w:val="font61"/>
    <w:basedOn w:val="829"/>
    <w:qFormat/>
    <w:rPr>
      <w:rFonts w:hint="eastAsia" w:ascii="宋体" w:hAnsi="宋体" w:eastAsia="宋体" w:cs="宋体"/>
      <w:color w:val="000000"/>
      <w:sz w:val="21"/>
      <w:szCs w:val="21"/>
      <w:u w:val="none"/>
    </w:rPr>
  </w:style>
  <w:style w:type="character" w:styleId="1047" w:customStyle="1">
    <w:name w:val="font41"/>
    <w:basedOn w:val="829"/>
    <w:qFormat/>
    <w:rPr>
      <w:rFonts w:hint="default" w:ascii="Times New Roman" w:hAnsi="Times New Roman" w:cs="Times New Roman"/>
      <w:color w:val="000000"/>
      <w:sz w:val="20"/>
      <w:szCs w:val="20"/>
      <w:u w:val="none"/>
    </w:rPr>
  </w:style>
  <w:style w:type="character" w:styleId="1048" w:customStyle="1">
    <w:name w:val="批注框文本 字符"/>
    <w:basedOn w:val="829"/>
    <w:link w:val="844"/>
    <w:uiPriority w:val="99"/>
    <w:semiHidden/>
    <w:qFormat/>
    <w:rPr>
      <w:rFonts w:eastAsia="楷体_GB2312"/>
      <w:sz w:val="18"/>
      <w:szCs w:val="18"/>
    </w:rPr>
  </w:style>
  <w:style w:type="table" w:styleId="1049" w:customStyle="1">
    <w:name w:val="Table Normal"/>
    <w:semiHidden/>
    <w:unhideWhenUsed/>
    <w:qFormat/>
    <w:tblPr>
      <w:tblCellMar>
        <w:left w:w="0" w:type="dxa"/>
        <w:top w:w="0" w:type="dxa"/>
        <w:right w:w="0" w:type="dxa"/>
        <w:bottom w:w="0" w:type="dxa"/>
      </w:tblCellMar>
    </w:tblPr>
  </w:style>
  <w:style w:type="paragraph" w:styleId="1050" w:customStyle="1">
    <w:name w:val="样式 首行缩进:  2 字符"/>
    <w:basedOn w:val="819"/>
    <w:link w:val="1051"/>
    <w:qFormat/>
    <w:pPr>
      <w:ind w:firstLine="480"/>
      <w:spacing w:line="360" w:lineRule="auto"/>
    </w:pPr>
    <w:rPr>
      <w:rFonts w:eastAsia="宋体"/>
      <w:sz w:val="24"/>
    </w:rPr>
  </w:style>
  <w:style w:type="character" w:styleId="1051" w:customStyle="1">
    <w:name w:val="样式 首行缩进:  2 字符 Char Char"/>
    <w:link w:val="1050"/>
    <w:qFormat/>
    <w:rPr>
      <w:sz w:val="24"/>
    </w:rPr>
  </w:style>
  <w:style w:type="character" w:styleId="1052" w:customStyle="1">
    <w:name w:val="批注文字 字符"/>
    <w:basedOn w:val="829"/>
    <w:link w:val="836"/>
    <w:uiPriority w:val="99"/>
    <w:semiHidden/>
    <w:qFormat/>
    <w:rPr>
      <w:rFonts w:eastAsia="楷体_GB2312"/>
      <w:sz w:val="26"/>
    </w:rPr>
  </w:style>
  <w:style w:type="paragraph" w:styleId="1053" w:customStyle="1">
    <w:name w:val="Normal_17_1"/>
    <w:qFormat/>
    <w:pPr>
      <w:jc w:val="both"/>
      <w:widowControl w:val="off"/>
    </w:pPr>
    <w:rPr>
      <w:rFonts w:ascii="Calibri" w:hAnsi="Calibri"/>
      <w:sz w:val="21"/>
      <w:szCs w:val="22"/>
    </w:rPr>
  </w:style>
  <w:style w:type="paragraph" w:styleId="1054" w:customStyle="1">
    <w:name w:val="Normal_16_1"/>
    <w:qFormat/>
    <w:rPr>
      <w:rFonts w:ascii="宋体" w:hAnsi="宋体"/>
      <w:sz w:val="32"/>
      <w:szCs w:val="24"/>
    </w:rPr>
  </w:style>
  <w:style w:type="paragraph" w:styleId="1055" w:customStyle="1">
    <w:name w:val="正文_9_0_1"/>
    <w:qFormat/>
    <w:pPr>
      <w:jc w:val="both"/>
      <w:widowControl w:val="off"/>
    </w:pPr>
    <w:rPr>
      <w:rFonts w:ascii="Calibri" w:hAnsi="Calibri"/>
      <w:sz w:val="21"/>
      <w:szCs w:val="22"/>
    </w:rPr>
  </w:style>
  <w:style w:type="paragraph" w:styleId="1056" w:customStyle="1">
    <w:name w:val="正文_8_1_1"/>
    <w:qFormat/>
    <w:pPr>
      <w:jc w:val="both"/>
      <w:widowControl w:val="off"/>
    </w:pPr>
    <w:rPr>
      <w:rFonts w:ascii="Calibri" w:hAnsi="Calibri"/>
      <w:sz w:val="21"/>
      <w:szCs w:val="22"/>
    </w:rPr>
  </w:style>
  <w:style w:type="paragraph" w:styleId="1057" w:customStyle="1">
    <w:name w:val="正文_1_0_0_0_0_0"/>
    <w:qFormat/>
    <w:pPr>
      <w:jc w:val="both"/>
      <w:widowControl w:val="off"/>
    </w:pPr>
    <w:rPr>
      <w:sz w:val="21"/>
    </w:rPr>
  </w:style>
  <w:style w:type="paragraph" w:styleId="1058" w:customStyle="1">
    <w:name w:val="列出段落_2"/>
    <w:basedOn w:val="1056"/>
    <w:uiPriority w:val="34"/>
    <w:qFormat/>
    <w:pPr>
      <w:ind w:firstLine="420"/>
    </w:pPr>
  </w:style>
  <w:style w:type="paragraph" w:styleId="1059" w:customStyle="1">
    <w:name w:val="Other|1"/>
    <w:basedOn w:val="819"/>
    <w:qFormat/>
    <w:rPr>
      <w:rFonts w:ascii="宋体" w:hAnsi="宋体" w:eastAsia="宋体" w:cs="宋体"/>
      <w:sz w:val="21"/>
      <w:lang w:val="zh-TW" w:eastAsia="zh-TW" w:bidi="zh-TW"/>
    </w:rPr>
  </w:style>
  <w:style w:type="character" w:styleId="1060" w:customStyle="1">
    <w:name w:val="HTML 预设格式 字符"/>
    <w:basedOn w:val="829"/>
    <w:link w:val="858"/>
    <w:uiPriority w:val="99"/>
    <w:semiHidden/>
    <w:qFormat/>
    <w:rPr>
      <w:rFonts w:ascii="Courier New" w:hAnsi="Courier New" w:eastAsia="楷体_GB2312" w:cs="Courier New"/>
    </w:rPr>
  </w:style>
  <w:style w:type="character" w:styleId="1061" w:customStyle="1">
    <w:name w:val="正文文本 字符"/>
    <w:basedOn w:val="829"/>
    <w:link w:val="832"/>
    <w:uiPriority w:val="99"/>
    <w:rPr>
      <w:rFonts w:ascii="楷体_GB2312" w:hAnsi="Arial" w:eastAsia="楷体_GB2312"/>
      <w:sz w:val="28"/>
    </w:rPr>
  </w:style>
  <w:style w:type="paragraph" w:styleId="1062">
    <w:name w:val="Revision"/>
    <w:hidden/>
    <w:uiPriority w:val="99"/>
    <w:unhideWhenUsed/>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300F57-9878-43D6-AFB4-B3B4BEA79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41</cp:revision>
  <dcterms:created xsi:type="dcterms:W3CDTF">2026-09-01T03:20:00Z</dcterms:created>
  <dcterms:modified xsi:type="dcterms:W3CDTF">2026-09-29T08:44:06Z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