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60"/>
        <w:ind w:firstLine="0"/>
        <w:jc w:val="center"/>
        <w:rPr>
          <w:rFonts w:ascii="宋体" w:hAnsi="宋体" w:cs="宋体"/>
          <w:b/>
          <w:bCs/>
          <w:color w:val="auto"/>
          <w:sz w:val="84"/>
          <w:highlight w:val="none"/>
        </w:rPr>
      </w:pPr>
      <w:r>
        <w:rPr>
          <w:rFonts w:hint="eastAsia" w:ascii="宋体" w:hAnsi="宋体" w:cs="宋体"/>
          <w:b/>
          <w:bCs/>
          <w:color w:val="auto"/>
          <w:sz w:val="52"/>
          <w:szCs w:val="52"/>
          <w:highlight w:val="none"/>
        </w:rPr>
        <w:t xml:space="preserve">竞争性磋商文件</w:t>
      </w:r>
      <w:r/>
    </w:p>
    <w:p>
      <w:pPr>
        <w:jc w:val="center"/>
        <w:rPr>
          <w:rFonts w:ascii="宋体" w:hAnsi="宋体" w:cs="宋体"/>
          <w:bCs/>
          <w:color w:val="auto"/>
          <w:sz w:val="28"/>
          <w:highlight w:val="none"/>
        </w:rPr>
      </w:pPr>
      <w:r>
        <w:rPr>
          <w:rFonts w:hint="eastAsia" w:ascii="宋体" w:hAnsi="宋体" w:cs="宋体"/>
          <w:bCs/>
          <w:color w:val="auto"/>
          <w:sz w:val="36"/>
          <w:szCs w:val="36"/>
          <w:highlight w:val="none"/>
        </w:rPr>
        <w:t xml:space="preserve">（全流程电子化不见面开标）</w:t>
      </w:r>
      <w:r/>
    </w:p>
    <w:p>
      <w:pPr>
        <w:pStyle w:val="1160"/>
        <w:ind w:firstLine="0"/>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1160"/>
        <w:ind w:firstLine="643"/>
        <w:rPr>
          <w:rFonts w:ascii="宋体" w:hAnsi="宋体" w:cs="宋体"/>
          <w:b/>
          <w:bCs/>
          <w:color w:val="auto"/>
          <w:sz w:val="32"/>
          <w:highlight w:val="none"/>
        </w:rPr>
      </w:pPr>
      <w:r>
        <w:rPr>
          <w:rFonts w:ascii="宋体" w:hAnsi="宋体" w:cs="宋体"/>
          <w:b/>
          <w:bCs/>
          <w:color w:val="auto"/>
          <w:sz w:val="32"/>
          <w:highlight w:val="none"/>
        </w:rPr>
      </w:r>
      <w:r/>
    </w:p>
    <w:p>
      <w:pPr>
        <w:pStyle w:val="1160"/>
        <w:ind w:firstLine="0"/>
        <w:jc w:val="center"/>
        <w:rPr>
          <w:rFonts w:ascii="宋体" w:hAnsi="宋体" w:cs="宋体"/>
          <w:b/>
          <w:bCs/>
          <w:color w:val="auto"/>
          <w:sz w:val="32"/>
          <w:highlight w:val="none"/>
        </w:rPr>
      </w:pPr>
      <w:r>
        <w:rPr>
          <w:rFonts w:hint="eastAsia" w:ascii="宋体" w:hAnsi="宋体" w:cs="宋体"/>
          <w:b/>
          <w:bCs/>
          <w:color w:val="auto"/>
          <w:sz w:val="32"/>
          <w:highlight w:val="none"/>
        </w:rPr>
        <w:t xml:space="preserve">项目名称：人民广场、天德湖公园南门等绿雕养护项目</w:t>
      </w:r>
      <w:r/>
    </w:p>
    <w:p>
      <w:pPr>
        <w:pStyle w:val="1160"/>
        <w:ind w:firstLine="0"/>
        <w:jc w:val="center"/>
        <w:rPr>
          <w:rFonts w:hint="eastAsia" w:ascii="宋体" w:hAnsi="宋体" w:eastAsia="宋体" w:cs="宋体"/>
          <w:b/>
          <w:bCs/>
          <w:color w:val="auto"/>
          <w:sz w:val="32"/>
          <w:highlight w:val="none"/>
          <w:lang w:eastAsia="zh-CN"/>
        </w:rPr>
      </w:pPr>
      <w:r>
        <w:rPr>
          <w:rFonts w:hint="eastAsia" w:ascii="宋体" w:hAnsi="宋体" w:cs="宋体"/>
          <w:b/>
          <w:bCs/>
          <w:color w:val="auto"/>
          <w:sz w:val="32"/>
          <w:highlight w:val="none"/>
        </w:rPr>
        <w:t xml:space="preserve">项目编号：</w:t>
      </w:r>
      <w:r>
        <w:rPr>
          <w:rFonts w:hint="eastAsia" w:ascii="宋体" w:hAnsi="宋体" w:cs="宋体"/>
          <w:b/>
          <w:bCs/>
          <w:color w:val="auto"/>
          <w:sz w:val="32"/>
          <w:highlight w:val="none"/>
          <w:lang w:eastAsia="zh-CN"/>
        </w:rPr>
        <w:t xml:space="preserve">JSZC-321200-XHJS-C2026-0022</w:t>
      </w:r>
      <w:r/>
    </w:p>
    <w:p>
      <w:pPr>
        <w:pStyle w:val="1160"/>
        <w:ind w:firstLine="0"/>
        <w:jc w:val="center"/>
        <w:rPr>
          <w:rFonts w:ascii="宋体" w:hAnsi="宋体" w:cs="宋体"/>
          <w:b/>
          <w:color w:val="auto"/>
          <w:sz w:val="52"/>
          <w:szCs w:val="52"/>
          <w:highlight w:val="none"/>
        </w:rPr>
      </w:pPr>
      <w:r>
        <w:rPr>
          <w:rFonts w:ascii="宋体" w:hAnsi="宋体" w:cs="宋体"/>
          <w:b/>
          <w:color w:val="auto"/>
          <w:sz w:val="52"/>
          <w:szCs w:val="52"/>
          <w:highlight w:val="none"/>
        </w:rPr>
      </w:r>
      <w:r/>
    </w:p>
    <w:p>
      <w:pPr>
        <w:pStyle w:val="1160"/>
        <w:ind w:firstLine="479"/>
        <w:rPr>
          <w:rFonts w:ascii="宋体" w:hAnsi="宋体" w:cs="宋体"/>
          <w:b/>
          <w:bCs/>
          <w:color w:val="auto"/>
          <w:sz w:val="32"/>
          <w:highlight w:val="none"/>
        </w:rPr>
      </w:pPr>
      <w:r>
        <w:rPr>
          <w:rFonts w:ascii="宋体" w:hAnsi="宋体" w:cs="宋体"/>
          <w:b/>
          <w:bCs/>
          <w:color w:val="auto"/>
          <w:sz w:val="32"/>
          <w:highlight w:val="none"/>
        </w:rPr>
      </w:r>
      <w:r/>
    </w:p>
    <w:p>
      <w:pPr>
        <w:pStyle w:val="1160"/>
        <w:ind w:firstLine="479"/>
        <w:rPr>
          <w:rFonts w:ascii="宋体" w:hAnsi="宋体" w:cs="宋体"/>
          <w:b/>
          <w:bCs/>
          <w:color w:val="auto"/>
          <w:sz w:val="32"/>
          <w:highlight w:val="none"/>
        </w:rPr>
      </w:pPr>
      <w:r>
        <w:rPr>
          <w:rFonts w:ascii="宋体" w:hAnsi="宋体" w:cs="宋体"/>
          <w:b/>
          <w:bCs/>
          <w:color w:val="auto"/>
          <w:sz w:val="32"/>
          <w:highlight w:val="none"/>
        </w:rPr>
      </w:r>
      <w:r/>
    </w:p>
    <w:p>
      <w:pPr>
        <w:pStyle w:val="1160"/>
        <w:ind w:firstLine="0"/>
        <w:jc w:val="both"/>
        <w:rPr>
          <w:rFonts w:ascii="宋体" w:hAnsi="宋体" w:cs="宋体"/>
          <w:b/>
          <w:bCs/>
          <w:color w:val="auto"/>
          <w:sz w:val="32"/>
          <w:highlight w:val="none"/>
        </w:rPr>
      </w:pPr>
      <w:r>
        <w:rPr>
          <w:rFonts w:ascii="宋体" w:hAnsi="宋体" w:cs="宋体"/>
          <w:b/>
          <w:bCs/>
          <w:color w:val="auto"/>
          <w:sz w:val="32"/>
          <w:highlight w:val="none"/>
        </w:rPr>
      </w:r>
      <w:r/>
    </w:p>
    <w:p>
      <w:pPr>
        <w:pStyle w:val="1160"/>
        <w:ind w:firstLine="0"/>
        <w:jc w:val="both"/>
        <w:rPr>
          <w:rFonts w:ascii="宋体" w:hAnsi="宋体" w:cs="宋体"/>
          <w:b/>
          <w:bCs/>
          <w:color w:val="auto"/>
          <w:sz w:val="32"/>
          <w:highlight w:val="none"/>
        </w:rPr>
      </w:pPr>
      <w:r>
        <w:rPr>
          <w:rFonts w:ascii="宋体" w:hAnsi="宋体" w:cs="宋体"/>
          <w:b/>
          <w:bCs/>
          <w:color w:val="auto"/>
          <w:sz w:val="32"/>
          <w:highlight w:val="none"/>
        </w:rPr>
      </w:r>
      <w:r/>
    </w:p>
    <w:p>
      <w:pPr>
        <w:pStyle w:val="1160"/>
        <w:ind w:firstLine="0"/>
        <w:jc w:val="both"/>
        <w:rPr>
          <w:rFonts w:ascii="宋体" w:hAnsi="宋体" w:cs="宋体"/>
          <w:b/>
          <w:bCs/>
          <w:color w:val="auto"/>
          <w:sz w:val="32"/>
          <w:highlight w:val="none"/>
        </w:rPr>
      </w:pPr>
      <w:r>
        <w:rPr>
          <w:rFonts w:ascii="宋体" w:hAnsi="宋体" w:cs="宋体"/>
          <w:b/>
          <w:bCs/>
          <w:color w:val="auto"/>
          <w:sz w:val="32"/>
          <w:highlight w:val="none"/>
        </w:rPr>
      </w:r>
      <w:r/>
    </w:p>
    <w:p>
      <w:pPr>
        <w:pStyle w:val="1160"/>
        <w:ind w:firstLine="0"/>
        <w:jc w:val="center"/>
        <w:rPr>
          <w:rFonts w:ascii="宋体" w:hAnsi="宋体" w:cs="宋体"/>
          <w:b/>
          <w:bCs/>
          <w:color w:val="auto"/>
          <w:sz w:val="32"/>
          <w:highlight w:val="none"/>
        </w:rPr>
      </w:pPr>
      <w:r>
        <w:rPr>
          <w:rFonts w:hint="eastAsia" w:ascii="宋体" w:hAnsi="宋体" w:cs="宋体"/>
          <w:b/>
          <w:bCs/>
          <w:color w:val="auto"/>
          <w:sz w:val="32"/>
          <w:highlight w:val="none"/>
        </w:rPr>
        <w:t xml:space="preserve">采购人：泰州市市政园林事业中心</w:t>
      </w:r>
      <w:r/>
    </w:p>
    <w:p>
      <w:pPr>
        <w:pStyle w:val="1160"/>
        <w:ind w:firstLine="0"/>
        <w:jc w:val="center"/>
        <w:rPr>
          <w:rFonts w:ascii="宋体" w:hAnsi="宋体" w:cs="宋体"/>
          <w:b/>
          <w:bCs/>
          <w:color w:val="auto"/>
          <w:sz w:val="32"/>
          <w:highlight w:val="none"/>
        </w:rPr>
      </w:pPr>
      <w:r>
        <w:rPr>
          <w:rFonts w:hint="eastAsia" w:ascii="宋体" w:hAnsi="宋体" w:cs="宋体"/>
          <w:b/>
          <w:bCs/>
          <w:color w:val="auto"/>
          <w:sz w:val="32"/>
          <w:highlight w:val="none"/>
        </w:rPr>
        <w:t xml:space="preserve">采购代理机构：江苏信和工程建设管理房地产评估有限公司</w:t>
      </w:r>
      <w:r/>
    </w:p>
    <w:p>
      <w:pPr>
        <w:pStyle w:val="1160"/>
        <w:ind w:firstLine="0"/>
        <w:jc w:val="center"/>
        <w:rPr>
          <w:rFonts w:ascii="宋体" w:hAnsi="宋体" w:cs="宋体"/>
          <w:b/>
          <w:bCs/>
          <w:color w:val="auto"/>
          <w:sz w:val="32"/>
          <w:highlight w:val="none"/>
        </w:rPr>
        <w:sectPr>
          <w:footerReference w:type="default" r:id="rId11"/>
          <w:footnotePr/>
          <w:endnotePr/>
          <w:type w:val="nextPage"/>
          <w:pgSz w:w="11906" w:h="16838" w:orient="portrait"/>
          <w:pgMar w:top="1440" w:right="1587" w:bottom="1440" w:left="1800" w:header="851" w:footer="992" w:gutter="0"/>
          <w:pgNumType w:start="1"/>
          <w:cols w:num="1" w:sep="0" w:space="720" w:equalWidth="1"/>
          <w:docGrid w:linePitch="360"/>
        </w:sectPr>
      </w:pPr>
      <w:r>
        <w:rPr>
          <w:rFonts w:hint="eastAsia" w:ascii="宋体" w:hAnsi="宋体" w:cs="宋体"/>
          <w:b/>
          <w:bCs/>
          <w:color w:val="auto"/>
          <w:sz w:val="32"/>
          <w:highlight w:val="none"/>
        </w:rPr>
        <w:t xml:space="preserve">2026年</w:t>
      </w:r>
      <w:r>
        <w:rPr>
          <w:rFonts w:hint="eastAsia" w:ascii="宋体" w:hAnsi="宋体" w:cs="宋体"/>
          <w:b/>
          <w:bCs/>
          <w:color w:val="auto"/>
          <w:sz w:val="32"/>
          <w:highlight w:val="none"/>
          <w:lang w:val="en-US" w:eastAsia="zh-CN"/>
        </w:rPr>
        <w:t xml:space="preserve">10</w:t>
      </w:r>
      <w:r>
        <w:rPr>
          <w:rFonts w:hint="eastAsia" w:ascii="宋体" w:hAnsi="宋体" w:cs="宋体"/>
          <w:b/>
          <w:bCs/>
          <w:color w:val="auto"/>
          <w:sz w:val="32"/>
          <w:highlight w:val="none"/>
        </w:rPr>
        <w:t xml:space="preserve">月</w:t>
      </w:r>
      <w:r/>
    </w:p>
    <w:p>
      <w:pPr>
        <w:jc w:val="center"/>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目  录</w:t>
      </w:r>
      <w:r/>
    </w:p>
    <w:p>
      <w:pPr>
        <w:pStyle w:val="976"/>
        <w:ind w:firstLine="301"/>
        <w:rPr>
          <w:rFonts w:ascii="宋体" w:hAnsi="宋体" w:cs="宋体"/>
          <w:b/>
          <w:bCs/>
          <w:color w:val="auto"/>
          <w:sz w:val="30"/>
          <w:szCs w:val="30"/>
          <w:highlight w:val="none"/>
        </w:rPr>
      </w:pPr>
      <w:r>
        <w:rPr>
          <w:rFonts w:ascii="宋体" w:hAnsi="宋体" w:cs="宋体"/>
          <w:b/>
          <w:bCs/>
          <w:color w:val="auto"/>
          <w:sz w:val="30"/>
          <w:szCs w:val="30"/>
          <w:highlight w:val="none"/>
        </w:rPr>
      </w:r>
      <w:r/>
    </w:p>
    <w:p>
      <w:pPr>
        <w:rPr>
          <w:rFonts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"_Toc16887" \o "#_Toc16887" </w:instrText>
      </w:r>
      <w:r>
        <w:rPr>
          <w:color w:val="auto"/>
          <w:highlight w:val="none"/>
        </w:rPr>
        <w:fldChar w:fldCharType="separate"/>
      </w:r>
      <w:r>
        <w:rPr>
          <w:rFonts w:hint="eastAsia" w:ascii="宋体" w:hAnsi="宋体" w:cs="宋体"/>
          <w:color w:val="auto"/>
          <w:sz w:val="28"/>
          <w:szCs w:val="28"/>
          <w:highlight w:val="none"/>
        </w:rPr>
        <w:t xml:space="preserve">第一章  竞争性磋商公告</w:t>
      </w:r>
      <w:r>
        <w:rPr>
          <w:rFonts w:hint="eastAsia" w:ascii="宋体" w:hAnsi="宋体" w:cs="宋体"/>
          <w:color w:val="auto"/>
          <w:sz w:val="28"/>
          <w:szCs w:val="28"/>
          <w:highlight w:val="none"/>
        </w:rPr>
        <w:fldChar w:fldCharType="end"/>
      </w:r>
      <w:r/>
    </w:p>
    <w:p>
      <w:pPr>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"_Toc28896" \o "#_Toc28896" </w:instrText>
      </w:r>
      <w:r>
        <w:rPr>
          <w:color w:val="auto"/>
          <w:highlight w:val="none"/>
        </w:rPr>
        <w:fldChar w:fldCharType="separate"/>
      </w:r>
      <w:r>
        <w:rPr>
          <w:rFonts w:hint="eastAsia" w:ascii="宋体" w:hAnsi="宋体" w:cs="宋体"/>
          <w:color w:val="auto"/>
          <w:sz w:val="28"/>
          <w:szCs w:val="28"/>
          <w:highlight w:val="none"/>
        </w:rPr>
        <w:t xml:space="preserve">第二章  参加磋商的供应商须知</w:t>
      </w:r>
      <w:r>
        <w:rPr>
          <w:rFonts w:hint="eastAsia" w:ascii="宋体" w:hAnsi="宋体" w:cs="宋体"/>
          <w:color w:val="auto"/>
          <w:sz w:val="28"/>
          <w:szCs w:val="28"/>
          <w:highlight w:val="none"/>
        </w:rPr>
        <w:fldChar w:fldCharType="end"/>
      </w:r>
      <w:r/>
    </w:p>
    <w:p>
      <w:pPr>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"_Toc20325" \o "#_Toc20325" </w:instrText>
      </w:r>
      <w:r>
        <w:rPr>
          <w:color w:val="auto"/>
          <w:highlight w:val="none"/>
        </w:rPr>
        <w:fldChar w:fldCharType="separate"/>
      </w:r>
      <w:r>
        <w:rPr>
          <w:rFonts w:hint="eastAsia" w:ascii="宋体" w:hAnsi="宋体" w:cs="宋体"/>
          <w:color w:val="auto"/>
          <w:sz w:val="28"/>
          <w:szCs w:val="28"/>
          <w:highlight w:val="none"/>
        </w:rPr>
        <w:t xml:space="preserve">第三章  合同条款及格式</w:t>
      </w:r>
      <w:r>
        <w:rPr>
          <w:rFonts w:hint="eastAsia" w:ascii="宋体" w:hAnsi="宋体" w:cs="宋体"/>
          <w:color w:val="auto"/>
          <w:sz w:val="28"/>
          <w:szCs w:val="28"/>
          <w:highlight w:val="none"/>
        </w:rPr>
        <w:fldChar w:fldCharType="end"/>
      </w:r>
      <w:r/>
    </w:p>
    <w:p>
      <w:pPr>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"_Toc32522" \o "#_Toc32522" </w:instrText>
      </w:r>
      <w:r>
        <w:rPr>
          <w:color w:val="auto"/>
          <w:highlight w:val="none"/>
        </w:rPr>
        <w:fldChar w:fldCharType="separate"/>
      </w:r>
      <w:r>
        <w:rPr>
          <w:rFonts w:hint="eastAsia" w:ascii="宋体" w:hAnsi="宋体" w:cs="宋体"/>
          <w:color w:val="auto"/>
          <w:sz w:val="28"/>
          <w:szCs w:val="28"/>
          <w:highlight w:val="none"/>
        </w:rPr>
        <w:t xml:space="preserve">第四章  采购需求</w:t>
      </w:r>
      <w:r>
        <w:rPr>
          <w:rFonts w:hint="eastAsia" w:ascii="宋体" w:hAnsi="宋体" w:cs="宋体"/>
          <w:color w:val="auto"/>
          <w:sz w:val="28"/>
          <w:szCs w:val="28"/>
          <w:highlight w:val="none"/>
        </w:rPr>
        <w:fldChar w:fldCharType="end"/>
      </w:r>
      <w:r/>
    </w:p>
    <w:p>
      <w:pPr>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"_Toc10158" \o "#_Toc10158" </w:instrText>
      </w:r>
      <w:r>
        <w:rPr>
          <w:color w:val="auto"/>
          <w:highlight w:val="none"/>
        </w:rPr>
        <w:fldChar w:fldCharType="separate"/>
      </w:r>
      <w:r>
        <w:rPr>
          <w:rFonts w:hint="eastAsia" w:ascii="宋体" w:hAnsi="宋体" w:cs="宋体"/>
          <w:color w:val="auto"/>
          <w:sz w:val="28"/>
          <w:szCs w:val="28"/>
          <w:highlight w:val="none"/>
        </w:rPr>
        <w:t xml:space="preserve">第五章  评审方法和评审标准</w:t>
      </w:r>
      <w:r>
        <w:rPr>
          <w:rFonts w:hint="eastAsia" w:ascii="宋体" w:hAnsi="宋体" w:cs="宋体"/>
          <w:color w:val="auto"/>
          <w:sz w:val="28"/>
          <w:szCs w:val="28"/>
          <w:highlight w:val="none"/>
        </w:rPr>
        <w:fldChar w:fldCharType="end"/>
      </w:r>
      <w:r/>
    </w:p>
    <w:p>
      <w:pPr>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"_Toc31610" \o "#_Toc31610" </w:instrText>
      </w:r>
      <w:r>
        <w:rPr>
          <w:color w:val="auto"/>
          <w:highlight w:val="none"/>
        </w:rPr>
        <w:fldChar w:fldCharType="separate"/>
      </w:r>
      <w:r>
        <w:rPr>
          <w:rFonts w:hint="eastAsia" w:ascii="宋体" w:hAnsi="宋体" w:cs="宋体"/>
          <w:color w:val="auto"/>
          <w:sz w:val="28"/>
          <w:szCs w:val="28"/>
          <w:highlight w:val="none"/>
        </w:rPr>
        <w:t xml:space="preserve">第六章  响应文件的组成和格式</w:t>
      </w:r>
      <w:r>
        <w:rPr>
          <w:rFonts w:hint="eastAsia" w:ascii="宋体" w:hAnsi="宋体" w:cs="宋体"/>
          <w:color w:val="auto"/>
          <w:sz w:val="28"/>
          <w:szCs w:val="28"/>
          <w:highlight w:val="none"/>
        </w:rPr>
        <w:fldChar w:fldCharType="end"/>
      </w:r>
      <w:r/>
    </w:p>
    <w:p>
      <w:pPr>
        <w:rPr>
          <w:color w:val="auto"/>
          <w:highlight w:val="none"/>
        </w:rPr>
        <w:sectPr>
          <w:headerReference w:type="default" r:id="rId9"/>
          <w:headerReference w:type="first" r:id="rId10"/>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color w:val="auto"/>
          <w:sz w:val="28"/>
          <w:szCs w:val="28"/>
          <w:highlight w:val="none"/>
        </w:rPr>
        <w:fldChar w:fldCharType="end"/>
      </w:r>
      <w:r/>
    </w:p>
    <w:p>
      <w:pPr>
        <w:pStyle w:val="965"/>
        <w:numPr>
          <w:ilvl w:val="0"/>
          <w:numId w:val="1"/>
        </w:numPr>
        <w:spacing w:after="0" w:line="360" w:lineRule="auto"/>
        <w:rPr>
          <w:color w:val="auto"/>
          <w:sz w:val="32"/>
          <w:szCs w:val="32"/>
          <w:highlight w:val="none"/>
        </w:rPr>
      </w:pPr>
      <w:r/>
      <w:bookmarkStart w:id="0" w:name="_Toc16887"/>
      <w:r>
        <w:rPr>
          <w:color w:val="auto"/>
          <w:sz w:val="32"/>
          <w:szCs w:val="32"/>
          <w:highlight w:val="none"/>
        </w:rPr>
        <w:t xml:space="preserve">竞争性磋商</w:t>
      </w:r>
      <w:r>
        <w:rPr>
          <w:rFonts w:hint="eastAsia"/>
          <w:color w:val="auto"/>
          <w:sz w:val="32"/>
          <w:szCs w:val="32"/>
          <w:highlight w:val="none"/>
        </w:rPr>
        <w:t xml:space="preserve">公告</w:t>
      </w:r>
      <w:bookmarkEnd w:id="0"/>
      <w:r/>
      <w:r/>
    </w:p>
    <w:p>
      <w:pPr>
        <w:spacing w:after="0" w:line="420" w:lineRule="exact"/>
        <w:rPr>
          <w:rFonts w:ascii="宋体" w:hAnsi="宋体" w:cs="宋体"/>
          <w:color w:val="auto"/>
          <w:spacing w:val="-2"/>
          <w:sz w:val="24"/>
          <w:highlight w:val="none"/>
        </w:rPr>
        <w:pBdr>
          <w:top w:val="single" w:color="auto" w:sz="4" w:space="1"/>
          <w:left w:val="single" w:color="auto" w:sz="4" w:space="4"/>
          <w:bottom w:val="single" w:color="auto" w:sz="4" w:space="1"/>
          <w:right w:val="single" w:color="auto" w:sz="4" w:space="4"/>
        </w:pBdr>
      </w:pPr>
      <w:r/>
      <w:bookmarkStart w:id="1" w:name="_Toc513029209"/>
      <w:r/>
      <w:bookmarkStart w:id="2" w:name="_Toc61149549"/>
      <w:r/>
      <w:bookmarkStart w:id="3" w:name="_Toc14577347"/>
      <w:r>
        <w:rPr>
          <w:rFonts w:hint="eastAsia" w:ascii="宋体" w:hAnsi="宋体" w:cs="宋体"/>
          <w:color w:val="auto"/>
          <w:spacing w:val="-2"/>
          <w:sz w:val="24"/>
          <w:highlight w:val="none"/>
        </w:rPr>
        <w:t xml:space="preserve">项目概况</w:t>
      </w:r>
      <w:r/>
    </w:p>
    <w:p>
      <w:pPr>
        <w:ind w:firstLine="472"/>
        <w:spacing w:after="0" w:line="420" w:lineRule="exact"/>
        <w:rPr>
          <w:rFonts w:ascii="宋体" w:hAnsi="宋体" w:cs="宋体"/>
          <w:color w:val="auto"/>
          <w:sz w:val="24"/>
          <w:highlight w:val="none"/>
        </w:rPr>
        <w:pBdr>
          <w:top w:val="single" w:color="auto" w:sz="4" w:space="1"/>
          <w:left w:val="single" w:color="auto" w:sz="4" w:space="4"/>
          <w:bottom w:val="single" w:color="auto" w:sz="4" w:space="1"/>
          <w:right w:val="single" w:color="auto" w:sz="4" w:space="4"/>
        </w:pBdr>
      </w:pPr>
      <w:r/>
      <w:bookmarkStart w:id="4" w:name="_Toc35393629"/>
      <w:r/>
      <w:bookmarkStart w:id="5" w:name="_Toc28359089"/>
      <w:r/>
      <w:bookmarkStart w:id="6" w:name="_Toc28359012"/>
      <w:r/>
      <w:bookmarkStart w:id="7" w:name="_Toc35393798"/>
      <w:r>
        <w:rPr>
          <w:rFonts w:hint="eastAsia" w:ascii="宋体" w:hAnsi="宋体" w:cs="宋体"/>
          <w:color w:val="auto"/>
          <w:spacing w:val="-2"/>
          <w:sz w:val="24"/>
          <w:highlight w:val="none"/>
        </w:rPr>
        <w:t xml:space="preserve">人民广场、天德湖公园南门等绿雕养护项目</w:t>
      </w:r>
      <w:r>
        <w:rPr>
          <w:rFonts w:hint="eastAsia" w:ascii="宋体" w:hAnsi="宋体" w:cs="宋体"/>
          <w:color w:val="auto"/>
          <w:sz w:val="24"/>
          <w:highlight w:val="none"/>
          <w:lang w:eastAsia="zh-CN"/>
        </w:rPr>
        <w:t xml:space="preserve">JSZC-321200-XHJS-C2026-0022</w:t>
      </w:r>
      <w:r>
        <w:rPr>
          <w:rFonts w:hint="eastAsia" w:ascii="宋体" w:hAnsi="宋体" w:cs="宋体"/>
          <w:color w:val="auto"/>
          <w:sz w:val="24"/>
          <w:highlight w:val="none"/>
        </w:rPr>
        <w:t xml:space="preserve">采购项目的潜在供应商应在江苏政府采购“苏采云”系统获取采购文件，并于2026-</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23</w:t>
      </w:r>
      <w:r>
        <w:rPr>
          <w:rFonts w:hint="eastAsia" w:ascii="宋体" w:hAnsi="宋体" w:cs="宋体"/>
          <w:color w:val="auto"/>
          <w:sz w:val="24"/>
          <w:highlight w:val="none"/>
        </w:rPr>
        <w:t xml:space="preserve">  09:00</w:t>
      </w:r>
      <w:r>
        <w:rPr>
          <w:rFonts w:hint="eastAsia" w:ascii="宋体" w:hAnsi="宋体" w:cs="宋体"/>
          <w:bCs/>
          <w:color w:val="auto"/>
          <w:sz w:val="24"/>
          <w:highlight w:val="none"/>
        </w:rPr>
        <w:t xml:space="preserve">（北京时间）前提交响应文件</w:t>
      </w:r>
      <w:r>
        <w:rPr>
          <w:rFonts w:hint="eastAsia" w:ascii="宋体" w:hAnsi="宋体" w:cs="宋体"/>
          <w:color w:val="auto"/>
          <w:sz w:val="24"/>
          <w:highlight w:val="none"/>
        </w:rPr>
        <w:t xml:space="preserve">。</w:t>
      </w:r>
      <w:r/>
    </w:p>
    <w:p>
      <w:pPr>
        <w:pStyle w:val="966"/>
        <w:jc w:val="both"/>
        <w:keepLines w:val="0"/>
        <w:keepNext w:val="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一、项目基本情况</w:t>
      </w:r>
      <w:bookmarkEnd w:id="4"/>
      <w:r/>
      <w:bookmarkEnd w:id="5"/>
      <w:r/>
      <w:bookmarkEnd w:id="6"/>
      <w:r/>
      <w:bookmarkEnd w:id="7"/>
      <w:r/>
      <w:r/>
    </w:p>
    <w:p>
      <w:pPr>
        <w:ind w:firstLine="482"/>
        <w:spacing w:after="0"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JSZC-321200-XHJS-C2026-0022</w:t>
      </w:r>
      <w:r/>
    </w:p>
    <w:p>
      <w:pPr>
        <w:ind w:firstLine="482"/>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项目名称：人民广场、天德湖公园南门等绿雕养护项目</w:t>
      </w:r>
      <w:r/>
    </w:p>
    <w:p>
      <w:pPr>
        <w:ind w:firstLine="482"/>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采购方式：竞争性磋商</w:t>
      </w:r>
      <w:r/>
    </w:p>
    <w:p>
      <w:pPr>
        <w:ind w:firstLine="482"/>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预算金额：130万元</w:t>
      </w:r>
      <w:r/>
    </w:p>
    <w:p>
      <w:pPr>
        <w:ind w:firstLine="482"/>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最高限价：130万元，各供应商投标报价不得高于最高限价，否则作无效响应文件处理。</w:t>
      </w:r>
      <w:r/>
    </w:p>
    <w:p>
      <w:pPr>
        <w:ind w:firstLine="480"/>
        <w:jc w:val="left"/>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采购需求：人民广场、天德湖公园南门</w:t>
      </w:r>
      <w:bookmarkStart w:id="8" w:name="_Hlk240289315"/>
      <w:r>
        <w:rPr>
          <w:rFonts w:hint="eastAsia" w:ascii="宋体" w:hAnsi="宋体" w:cs="宋体"/>
          <w:color w:val="auto"/>
          <w:sz w:val="24"/>
          <w:highlight w:val="none"/>
        </w:rPr>
        <w:t xml:space="preserve">等绿雕养护</w:t>
      </w:r>
      <w:bookmarkEnd w:id="8"/>
      <w:r>
        <w:rPr>
          <w:rFonts w:hint="eastAsia" w:ascii="宋体" w:hAnsi="宋体" w:cs="宋体"/>
          <w:color w:val="auto"/>
          <w:sz w:val="24"/>
          <w:highlight w:val="none"/>
        </w:rPr>
        <w:t xml:space="preserve">项目（含永定路与东风路高架立交绿柱、广电局南门和人民广场东支路东侧绿墙等）。项目内容主要包括</w:t>
      </w:r>
      <w:r>
        <w:rPr>
          <w:rFonts w:hint="eastAsia" w:ascii="宋体" w:hAnsi="宋体"/>
          <w:color w:val="auto"/>
          <w:sz w:val="24"/>
          <w:highlight w:val="none"/>
        </w:rPr>
        <w:t xml:space="preserve">绿雕主体钢结构加固，绿雕表面仿真绿植更换，地面花镜养护（包括</w:t>
      </w:r>
      <w:r>
        <w:rPr>
          <w:rFonts w:hint="eastAsia" w:ascii="宋体" w:hAnsi="宋体" w:cs="宋体"/>
          <w:color w:val="auto"/>
          <w:sz w:val="24"/>
          <w:highlight w:val="none"/>
        </w:rPr>
        <w:t xml:space="preserve">时令花卉、草坪的更换与养护），绿墙养护，以及景观小品、亮化设施的维护等，详见磋商文件采购需求。</w:t>
      </w:r>
      <w:r/>
    </w:p>
    <w:p>
      <w:pPr>
        <w:ind w:firstLine="482"/>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合同履行期限：自2026年11月1日起至2027年10月31日止</w:t>
      </w:r>
      <w:r/>
    </w:p>
    <w:p>
      <w:pPr>
        <w:ind w:firstLine="482"/>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本项目不接受联合体。</w:t>
      </w:r>
      <w:r/>
    </w:p>
    <w:p>
      <w:pPr>
        <w:pStyle w:val="966"/>
        <w:jc w:val="both"/>
        <w:keepLines w:val="0"/>
        <w:keepNext w:val="0"/>
        <w:spacing w:before="0" w:after="0" w:line="360" w:lineRule="auto"/>
        <w:rPr>
          <w:rFonts w:ascii="宋体" w:hAnsi="宋体" w:eastAsia="宋体" w:cs="宋体"/>
          <w:color w:val="auto"/>
          <w:sz w:val="24"/>
          <w:szCs w:val="24"/>
          <w:highlight w:val="none"/>
        </w:rPr>
      </w:pPr>
      <w:r/>
      <w:bookmarkStart w:id="9" w:name="_Toc28359013"/>
      <w:r/>
      <w:bookmarkStart w:id="10" w:name="_Toc28359090"/>
      <w:r/>
      <w:bookmarkStart w:id="11" w:name="_Toc35393630"/>
      <w:r/>
      <w:bookmarkStart w:id="12" w:name="_Toc35393799"/>
      <w:r>
        <w:rPr>
          <w:rFonts w:hint="eastAsia" w:ascii="宋体" w:hAnsi="宋体" w:eastAsia="宋体" w:cs="宋体"/>
          <w:color w:val="auto"/>
          <w:sz w:val="24"/>
          <w:szCs w:val="24"/>
          <w:highlight w:val="none"/>
        </w:rPr>
        <w:t xml:space="preserve">二、申请人的资格要求</w:t>
      </w:r>
      <w:bookmarkEnd w:id="9"/>
      <w:r/>
      <w:bookmarkEnd w:id="10"/>
      <w:r/>
      <w:bookmarkEnd w:id="11"/>
      <w:r/>
      <w:bookmarkEnd w:id="12"/>
      <w:r/>
      <w:r/>
    </w:p>
    <w:p>
      <w:pPr>
        <w:ind w:firstLine="42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（一）满足《中华人民共和国政府采购法》第二十二条规定：</w:t>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1.具有独立承担民事责任的能力；</w:t>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2.具有良好的商业信誉和健全的财务会计制度；</w:t>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3.具有履行合同所必需的设备和专业技术能力；</w:t>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4.有依法缴纳税收和社会保障资金的良好记录；</w:t>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5.参加政府采购活动前三年内，在经营活动中没有重大违法记录；</w:t>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6.法律、行政法规规定的其他条件。</w:t>
      </w:r>
      <w:r/>
    </w:p>
    <w:p>
      <w:pPr>
        <w:ind w:firstLine="480"/>
        <w:spacing w:after="0" w:line="360" w:lineRule="auto"/>
        <w:rPr>
          <w:rFonts w:ascii="宋体" w:hAnsi="宋体" w:cs="宋体"/>
          <w:color w:val="auto"/>
          <w:highlight w:val="none"/>
        </w:rPr>
      </w:pPr>
      <w:r>
        <w:rPr>
          <w:rFonts w:hint="eastAsia" w:ascii="宋体" w:hAnsi="宋体" w:cs="宋体"/>
          <w:color w:val="auto"/>
          <w:sz w:val="24"/>
          <w:highlight w:val="none"/>
        </w:rPr>
        <w:t xml:space="preserve">（二）落实政府采购政策需满足的资格要求：本项目专门面向中小企业，供应商应为中小微企业、监狱企业、残疾人福利性单位。</w:t>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（三）本项目的特定资格要求：</w:t>
      </w:r>
      <w:r>
        <w:rPr>
          <w:rFonts w:hint="eastAsia" w:ascii="宋体" w:hAnsi="宋体" w:cs="宋体"/>
          <w:color w:val="auto"/>
          <w:sz w:val="24"/>
          <w:highlight w:val="none"/>
          <w:lang w:eastAsia="zh-CN"/>
        </w:rPr>
        <w:t xml:space="preserve">未被“信用中国”网站（www.creditchina.gov.cn）列入失信被执行人名单、重大税收违法失信主体名单、政府采购严重违法失信行为记录名单。</w:t>
      </w:r>
      <w:r/>
    </w:p>
    <w:p>
      <w:pPr>
        <w:ind w:firstLine="480"/>
        <w:spacing w:after="0" w:line="360" w:lineRule="auto"/>
        <w:rPr>
          <w:rFonts w:ascii="宋体" w:hAnsi="宋体" w:cs="宋体"/>
          <w:color w:val="auto"/>
          <w:sz w:val="24"/>
          <w:highlight w:val="none"/>
        </w:rPr>
      </w:pPr>
      <w:r/>
      <w:bookmarkStart w:id="13" w:name="_Toc35393800"/>
      <w:r/>
      <w:bookmarkStart w:id="14" w:name="_Toc28359091"/>
      <w:r/>
      <w:bookmarkStart w:id="15" w:name="_Toc28359014"/>
      <w:r/>
      <w:bookmarkStart w:id="16" w:name="_Toc35393631"/>
      <w:r>
        <w:rPr>
          <w:rFonts w:hint="eastAsia" w:ascii="宋体" w:hAnsi="宋体" w:cs="宋体"/>
          <w:color w:val="auto"/>
          <w:sz w:val="24"/>
          <w:highlight w:val="none"/>
        </w:rPr>
        <w:t xml:space="preserve">注：1.凡为本采购项目提供整体设计、规范编制或者项目管理、监理、检测等服务的供应商，不得再参加本采购项目的其他采购活动；</w:t>
      </w:r>
      <w:r/>
    </w:p>
    <w:p>
      <w:pPr>
        <w:ind w:firstLine="96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2.单位法定代表人/负责人为同一人或者存在直接控股、管理关系的不同供应商，不得参加同一合同项下的政府采购活动。</w:t>
      </w:r>
      <w:r/>
    </w:p>
    <w:p>
      <w:pPr>
        <w:pStyle w:val="966"/>
        <w:jc w:val="both"/>
        <w:keepLines w:val="0"/>
        <w:keepNext w:val="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三、获取采购文件</w:t>
      </w:r>
      <w:bookmarkEnd w:id="13"/>
      <w:r/>
      <w:bookmarkEnd w:id="14"/>
      <w:r/>
      <w:bookmarkEnd w:id="15"/>
      <w:r/>
      <w:bookmarkEnd w:id="16"/>
      <w:r/>
      <w:r/>
    </w:p>
    <w:p>
      <w:pPr>
        <w:ind w:firstLine="482"/>
        <w:spacing w:after="0" w:line="360" w:lineRule="auto"/>
        <w:rPr>
          <w:rFonts w:ascii="宋体" w:hAnsi="宋体" w:cs="宋体"/>
          <w:color w:val="auto"/>
          <w:sz w:val="24"/>
          <w:highlight w:val="none"/>
        </w:rPr>
      </w:pPr>
      <w:r/>
      <w:bookmarkStart w:id="17" w:name="_Toc35393632"/>
      <w:r/>
      <w:bookmarkStart w:id="18" w:name="_Toc28359015"/>
      <w:r/>
      <w:bookmarkStart w:id="19" w:name="_Toc35393801"/>
      <w:r/>
      <w:bookmarkStart w:id="20" w:name="_Toc28359092"/>
      <w:r>
        <w:rPr>
          <w:rFonts w:hint="eastAsia" w:ascii="宋体" w:hAnsi="宋体" w:cs="宋体"/>
          <w:color w:val="auto"/>
          <w:sz w:val="24"/>
          <w:highlight w:val="none"/>
        </w:rPr>
        <w:t xml:space="preserve">时间：自公告发布之日起5个工作日</w:t>
      </w:r>
      <w:r/>
    </w:p>
    <w:p>
      <w:pPr>
        <w:ind w:firstLine="482"/>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地点：江苏政府采购“苏采云”系统 </w:t>
      </w:r>
      <w:r/>
    </w:p>
    <w:p>
      <w:pPr>
        <w:ind w:firstLine="482"/>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方式：供应商完成注册并办理CA证书后登录江苏政府采购“苏采云”系统下载本项目采购文件。</w:t>
      </w:r>
      <w:r/>
    </w:p>
    <w:p>
      <w:pPr>
        <w:ind w:firstLine="482"/>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售价：0.00元</w:t>
      </w:r>
      <w:bookmarkEnd w:id="17"/>
      <w:r/>
      <w:bookmarkEnd w:id="18"/>
      <w:r/>
      <w:bookmarkEnd w:id="19"/>
      <w:r/>
      <w:bookmarkEnd w:id="20"/>
      <w:r/>
      <w:r/>
    </w:p>
    <w:p>
      <w:pPr>
        <w:pStyle w:val="966"/>
        <w:jc w:val="both"/>
        <w:keepLines w:val="0"/>
        <w:keepNext w:val="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四、响应文件提交</w:t>
      </w:r>
      <w:r/>
    </w:p>
    <w:p>
      <w:pPr>
        <w:ind w:firstLine="482"/>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截止时间：2026-</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23 </w:t>
      </w:r>
      <w:r>
        <w:rPr>
          <w:rFonts w:hint="eastAsia" w:ascii="宋体" w:hAnsi="宋体" w:cs="宋体"/>
          <w:color w:val="auto"/>
          <w:sz w:val="24"/>
          <w:highlight w:val="none"/>
        </w:rPr>
        <w:t xml:space="preserve">09:00（北京时间）</w:t>
      </w:r>
      <w:r/>
    </w:p>
    <w:p>
      <w:pPr>
        <w:ind w:firstLine="482"/>
        <w:spacing w:after="0" w:line="360" w:lineRule="auto"/>
        <w:rPr>
          <w:rFonts w:hint="eastAsia" w:ascii="宋体" w:hAnsi="宋体" w:cs="宋体"/>
          <w:color w:val="auto"/>
          <w:sz w:val="24"/>
          <w:szCs w:val="24"/>
          <w:highlight w:val="none"/>
          <w14:ligatures w14:val="none"/>
        </w:rPr>
      </w:pPr>
      <w:r>
        <w:rPr>
          <w:rFonts w:hint="eastAsia" w:ascii="宋体" w:hAnsi="宋体" w:cs="宋体"/>
          <w:color w:val="auto"/>
          <w:sz w:val="24"/>
          <w:highlight w:val="none"/>
        </w:rPr>
        <w:t xml:space="preserve">地点：</w:t>
      </w:r>
      <w:r>
        <w:rPr>
          <w:rFonts w:hint="eastAsia" w:ascii="宋体" w:hAnsi="宋体" w:cs="宋体"/>
          <w:color w:val="auto"/>
          <w:sz w:val="24"/>
          <w:szCs w:val="24"/>
          <w:highlight w:val="none"/>
        </w:rPr>
        <w:t xml:space="preserve">“苏采云”政府采购交易系统网上开标大厅 </w:t>
      </w:r>
      <w:r>
        <w:rPr>
          <w:rFonts w:hint="eastAsia" w:ascii="宋体" w:hAnsi="宋体" w:cs="宋体"/>
          <w:color w:val="auto"/>
          <w:sz w:val="24"/>
          <w:szCs w:val="24"/>
          <w:highlight w:val="none"/>
        </w:rPr>
      </w:r>
      <w:r>
        <w:rPr>
          <w:rFonts w:hint="eastAsia" w:ascii="宋体" w:hAnsi="宋体" w:cs="宋体"/>
          <w:color w:val="auto"/>
          <w:sz w:val="24"/>
          <w:szCs w:val="24"/>
          <w:highlight w:val="none"/>
        </w:rPr>
      </w:r>
    </w:p>
    <w:p>
      <w:pPr>
        <w:pStyle w:val="966"/>
        <w:jc w:val="both"/>
        <w:keepLines w:val="0"/>
        <w:keepNext w:val="0"/>
        <w:spacing w:before="0" w:after="0" w:line="360" w:lineRule="auto"/>
        <w:rPr>
          <w:rFonts w:ascii="宋体" w:hAnsi="宋体" w:eastAsia="宋体" w:cs="宋体"/>
          <w:color w:val="auto"/>
          <w:sz w:val="24"/>
          <w:szCs w:val="24"/>
          <w:highlight w:val="none"/>
        </w:rPr>
      </w:pPr>
      <w:r/>
      <w:bookmarkStart w:id="21" w:name="_Toc35393633"/>
      <w:r/>
      <w:bookmarkStart w:id="22" w:name="_Toc35393802"/>
      <w:r/>
      <w:bookmarkStart w:id="23" w:name="_Toc28359016"/>
      <w:r/>
      <w:bookmarkStart w:id="24" w:name="_Toc28359093"/>
      <w:r>
        <w:rPr>
          <w:rFonts w:hint="eastAsia" w:ascii="宋体" w:hAnsi="宋体" w:eastAsia="宋体" w:cs="宋体"/>
          <w:color w:val="auto"/>
          <w:sz w:val="24"/>
          <w:szCs w:val="24"/>
          <w:highlight w:val="none"/>
        </w:rPr>
        <w:t xml:space="preserve">五、开启</w:t>
      </w:r>
      <w:bookmarkEnd w:id="21"/>
      <w:r/>
      <w:bookmarkEnd w:id="22"/>
      <w:r/>
      <w:bookmarkEnd w:id="23"/>
      <w:r/>
      <w:bookmarkEnd w:id="24"/>
      <w:r/>
      <w:r/>
    </w:p>
    <w:p>
      <w:pPr>
        <w:ind w:firstLine="482"/>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时间：2026-</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23 </w:t>
      </w:r>
      <w:r>
        <w:rPr>
          <w:rFonts w:hint="eastAsia" w:ascii="宋体" w:hAnsi="宋体" w:cs="宋体"/>
          <w:color w:val="auto"/>
          <w:sz w:val="24"/>
          <w:highlight w:val="none"/>
        </w:rPr>
        <w:t xml:space="preserve">09:00（北京时间）</w:t>
      </w:r>
      <w:r/>
    </w:p>
    <w:p>
      <w:pPr>
        <w:ind w:firstLine="482"/>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地点：</w:t>
      </w:r>
      <w:r>
        <w:rPr>
          <w:rFonts w:hint="eastAsia" w:ascii="宋体" w:hAnsi="宋体" w:cs="宋体"/>
          <w:color w:val="auto"/>
          <w:sz w:val="24"/>
          <w:highlight w:val="none"/>
        </w:rPr>
      </w:r>
      <w:r>
        <w:rPr>
          <w:rFonts w:hint="eastAsia" w:ascii="宋体" w:hAnsi="宋体" w:cs="宋体"/>
          <w:color w:val="auto"/>
          <w:sz w:val="24"/>
          <w:highlight w:val="none"/>
        </w:rPr>
      </w:r>
      <w:r>
        <w:rPr>
          <w:rFonts w:hint="eastAsia" w:ascii="宋体" w:hAnsi="宋体" w:cs="宋体"/>
          <w:color w:val="auto"/>
          <w:sz w:val="24"/>
          <w:szCs w:val="24"/>
          <w:highlight w:val="none"/>
        </w:rPr>
        <w:t xml:space="preserve">“苏采云”政府采购交易系统网上开标大厅 </w:t>
      </w:r>
      <w:r/>
      <w:r>
        <w:rPr>
          <w:rFonts w:hint="eastAsia" w:ascii="宋体" w:hAnsi="宋体" w:cs="宋体"/>
          <w:color w:val="auto"/>
          <w:sz w:val="24"/>
          <w:highlight w:val="none"/>
        </w:rPr>
      </w:r>
      <w:r/>
    </w:p>
    <w:p>
      <w:pPr>
        <w:pStyle w:val="966"/>
        <w:jc w:val="both"/>
        <w:keepLines w:val="0"/>
        <w:keepNext w:val="0"/>
        <w:spacing w:before="0" w:after="0" w:line="360" w:lineRule="auto"/>
        <w:rPr>
          <w:rFonts w:ascii="宋体" w:hAnsi="宋体" w:eastAsia="宋体" w:cs="宋体"/>
          <w:color w:val="auto"/>
          <w:sz w:val="24"/>
          <w:szCs w:val="24"/>
          <w:highlight w:val="none"/>
        </w:rPr>
      </w:pPr>
      <w:r/>
      <w:bookmarkStart w:id="25" w:name="_Toc35393803"/>
      <w:r/>
      <w:bookmarkStart w:id="26" w:name="_Toc28359094"/>
      <w:r/>
      <w:bookmarkStart w:id="27" w:name="_Toc28359017"/>
      <w:r/>
      <w:bookmarkStart w:id="28" w:name="_Toc35393634"/>
      <w:r>
        <w:rPr>
          <w:rFonts w:hint="eastAsia" w:ascii="宋体" w:hAnsi="宋体" w:eastAsia="宋体" w:cs="宋体"/>
          <w:color w:val="auto"/>
          <w:sz w:val="24"/>
          <w:szCs w:val="24"/>
          <w:highlight w:val="none"/>
        </w:rPr>
        <w:t xml:space="preserve">六、公告期限</w:t>
      </w:r>
      <w:bookmarkEnd w:id="25"/>
      <w:r/>
      <w:bookmarkEnd w:id="26"/>
      <w:r/>
      <w:bookmarkEnd w:id="27"/>
      <w:r/>
      <w:bookmarkEnd w:id="28"/>
      <w:r/>
      <w:r/>
    </w:p>
    <w:p>
      <w:pPr>
        <w:ind w:firstLine="482"/>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自本公告发布之日起5个工作日。</w:t>
      </w:r>
      <w:bookmarkStart w:id="29" w:name="_Toc35393805"/>
      <w:r/>
      <w:bookmarkStart w:id="30" w:name="_Toc28359095"/>
      <w:r/>
      <w:bookmarkStart w:id="31" w:name="_Toc28359018"/>
      <w:r/>
      <w:bookmarkStart w:id="32" w:name="_Toc35393636"/>
      <w:r/>
      <w:r/>
    </w:p>
    <w:p>
      <w:pPr>
        <w:pStyle w:val="966"/>
        <w:jc w:val="both"/>
        <w:keepLines w:val="0"/>
        <w:keepNext w:val="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七、其他补充事项</w:t>
      </w:r>
      <w:r/>
    </w:p>
    <w:p>
      <w:pPr>
        <w:ind w:firstLine="482"/>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1.供应商如确定参加磋商，可自行下载采购文件及有关资料，按照采购文件规定进行注册、领取CA和办理电子签章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根据《“苏采云”系统供应商操作手册</w:t>
      </w:r>
      <w:r>
        <w:rPr>
          <w:color w:val="auto"/>
          <w:highlight w:val="none"/>
        </w:rPr>
        <w:fldChar w:fldCharType="begin"/>
      </w:r>
      <w:r>
        <w:rPr>
          <w:color w:val="auto"/>
          <w:highlight w:val="none"/>
        </w:rPr>
        <w:instrText xml:space="preserve"> HYPERLINK "http://www.ccgp-" </w:instrText>
      </w:r>
      <w:r>
        <w:rPr>
          <w:color w:val="auto"/>
          <w:highlight w:val="none"/>
        </w:rPr>
        <w:fldChar w:fldCharType="separate"/>
      </w:r>
      <w:r>
        <w:rPr>
          <w:rFonts w:hint="eastAsia" w:ascii="宋体" w:hAnsi="宋体" w:cs="宋体"/>
          <w:color w:val="auto"/>
          <w:sz w:val="24"/>
          <w:highlight w:val="none"/>
        </w:rPr>
        <w:t xml:space="preserve">http://www.ccgp-</w:t>
      </w:r>
      <w:r>
        <w:rPr>
          <w:rFonts w:ascii="宋体" w:hAnsi="宋体" w:cs="宋体"/>
          <w:color w:val="auto"/>
          <w:sz w:val="24"/>
          <w:highlight w:val="none"/>
        </w:rPr>
        <w:fldChar w:fldCharType="end"/>
      </w:r>
      <w:r>
        <w:rPr>
          <w:rFonts w:hint="eastAsia" w:ascii="宋体" w:hAnsi="宋体" w:cs="宋体"/>
          <w:color w:val="auto"/>
          <w:sz w:val="24"/>
          <w:highlight w:val="none"/>
        </w:rPr>
        <w:t xml:space="preserve">jiangsu.gov.cn/jiangsu/zlxz/ee/ee3a4bc5a3454aa2b0d9312230633ce9.html》规定，在“苏采云”（http://jszfcg.jsczt.cn/jszc/login）中按要求制作、上传电子响应文件（技术支持电话：0523-86897512；客服QQ：709339244、1195486789）。有关本次磋商的事项若存在变动或修改，敬请及时关注“江苏政府采购网”发布的更正公告。</w:t>
      </w:r>
      <w:r/>
    </w:p>
    <w:p>
      <w:pPr>
        <w:ind w:firstLine="482"/>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2.根据省财政厅《关</w:t>
      </w:r>
      <w:r>
        <w:rPr>
          <w:rFonts w:hint="eastAsia" w:ascii="宋体" w:hAnsi="宋体" w:cs="宋体"/>
          <w:color w:val="auto"/>
          <w:sz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2"/>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领取CA和办理电子签章，具体联系方式见《苏采云系统供应商操作手册》（以下简称《操作手册》）、进行注册并按《操作手册》要求制作、上传电子响应文件。</w:t>
      </w:r>
      <w:r/>
    </w:p>
    <w:p>
      <w:pPr>
        <w:ind w:firstLine="482"/>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3.本次磋商不收取磋商保证金。</w:t>
      </w:r>
      <w:r/>
    </w:p>
    <w:p>
      <w:pPr>
        <w:pStyle w:val="966"/>
        <w:jc w:val="both"/>
        <w:keepLines w:val="0"/>
        <w:keepNext w:val="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八、凡对本次采购提出询问，请按以下方式联系。</w:t>
      </w:r>
      <w:bookmarkEnd w:id="29"/>
      <w:r/>
      <w:bookmarkEnd w:id="30"/>
      <w:r/>
      <w:bookmarkEnd w:id="31"/>
      <w:r/>
      <w:bookmarkEnd w:id="32"/>
      <w:r/>
      <w:r/>
    </w:p>
    <w:p>
      <w:pPr>
        <w:ind w:firstLine="482"/>
        <w:spacing w:after="0" w:line="360" w:lineRule="auto"/>
        <w:rPr>
          <w:rFonts w:ascii="宋体" w:hAnsi="宋体" w:cs="宋体"/>
          <w:color w:val="auto"/>
          <w:sz w:val="24"/>
          <w:highlight w:val="none"/>
        </w:rPr>
      </w:pPr>
      <w:r/>
      <w:bookmarkStart w:id="33" w:name="_Toc28359009"/>
      <w:r/>
      <w:bookmarkStart w:id="34" w:name="_Toc28359086"/>
      <w:r>
        <w:rPr>
          <w:rFonts w:hint="eastAsia" w:ascii="宋体" w:hAnsi="宋体" w:cs="宋体"/>
          <w:color w:val="auto"/>
          <w:sz w:val="24"/>
          <w:highlight w:val="none"/>
        </w:rPr>
        <w:t xml:space="preserve">1.采购人</w:t>
      </w:r>
      <w:r/>
    </w:p>
    <w:p>
      <w:pPr>
        <w:ind w:firstLine="482"/>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单位名称：泰州市市政园林事业中心</w:t>
      </w:r>
      <w:r/>
    </w:p>
    <w:p>
      <w:pPr>
        <w:ind w:firstLine="482"/>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联系地址：泰州市海陵南路308号</w:t>
      </w:r>
      <w:r/>
    </w:p>
    <w:p>
      <w:pPr>
        <w:ind w:firstLine="482"/>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联 系 人：马先生</w:t>
      </w:r>
      <w:r/>
    </w:p>
    <w:p>
      <w:pPr>
        <w:ind w:firstLine="482"/>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联系电话：0523-86898701</w:t>
      </w:r>
      <w:r/>
    </w:p>
    <w:p>
      <w:pPr>
        <w:ind w:firstLine="482"/>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2.采购代理机构信息</w:t>
      </w:r>
      <w:bookmarkEnd w:id="33"/>
      <w:r/>
      <w:bookmarkEnd w:id="34"/>
      <w:r/>
      <w:r/>
    </w:p>
    <w:p>
      <w:pPr>
        <w:ind w:firstLine="482"/>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单位名称：江苏信和工程建设管理房地产评估有限公司</w:t>
      </w:r>
      <w:r/>
    </w:p>
    <w:p>
      <w:pPr>
        <w:ind w:firstLine="482"/>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联系地址：泰州市海陵区亿蜂产业创新基地2号楼一单元202室</w:t>
      </w:r>
      <w:r/>
    </w:p>
    <w:p>
      <w:pPr>
        <w:ind w:firstLine="482"/>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联系人：祝女士</w:t>
      </w:r>
      <w:r/>
    </w:p>
    <w:p>
      <w:pPr>
        <w:ind w:firstLine="482"/>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联系电话：18652651279</w:t>
      </w:r>
      <w:r/>
    </w:p>
    <w:p>
      <w:pPr>
        <w:ind w:firstLine="482"/>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2"/>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项目联系人：祝女士</w:t>
      </w:r>
      <w:r/>
    </w:p>
    <w:p>
      <w:pPr>
        <w:ind w:firstLine="482"/>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电话：18652651279</w:t>
      </w:r>
      <w:r/>
    </w:p>
    <w:p>
      <w:pPr>
        <w:rPr>
          <w:rFonts w:ascii="宋体" w:hAnsi="宋体" w:cs="宋体"/>
          <w:color w:val="auto"/>
          <w:sz w:val="24"/>
          <w:highlight w:val="none"/>
        </w:rPr>
      </w:pPr>
      <w:r>
        <w:rPr>
          <w:rFonts w:hint="eastAsia" w:ascii="宋体" w:hAnsi="宋体" w:cs="宋体"/>
          <w:color w:val="auto"/>
          <w:sz w:val="24"/>
          <w:highlight w:val="none"/>
        </w:rPr>
        <w:br w:type="page" w:clear="all"/>
      </w:r>
      <w:bookmarkEnd w:id="1"/>
      <w:bookmarkEnd w:id="2"/>
      <w:bookmarkEnd w:id="3"/>
      <w:r/>
    </w:p>
    <w:p>
      <w:pPr>
        <w:pStyle w:val="965"/>
        <w:numPr>
          <w:ilvl w:val="0"/>
          <w:numId w:val="1"/>
        </w:numPr>
        <w:spacing w:after="0" w:line="360" w:lineRule="auto"/>
        <w:rPr>
          <w:color w:val="auto"/>
          <w:sz w:val="32"/>
          <w:szCs w:val="32"/>
          <w:highlight w:val="none"/>
        </w:rPr>
      </w:pPr>
      <w:r/>
      <w:bookmarkStart w:id="35" w:name="_Toc20325"/>
      <w:r>
        <w:rPr>
          <w:rFonts w:hint="eastAsia"/>
          <w:color w:val="auto"/>
          <w:sz w:val="32"/>
          <w:szCs w:val="32"/>
          <w:highlight w:val="none"/>
        </w:rPr>
        <w:t xml:space="preserve">参加磋商的供应商须知</w:t>
      </w:r>
      <w:r/>
    </w:p>
    <w:p>
      <w:pPr>
        <w:ind w:firstLine="480"/>
        <w:jc w:val="center"/>
        <w:spacing w:line="360" w:lineRule="auto"/>
        <w:rPr>
          <w:rFonts w:ascii="宋体" w:hAnsi="宋体"/>
          <w:b/>
          <w:bCs/>
          <w:color w:val="auto"/>
          <w:sz w:val="24"/>
          <w:highlight w:val="none"/>
        </w:rPr>
      </w:pPr>
      <w:r>
        <w:rPr>
          <w:rFonts w:hint="eastAsia" w:ascii="宋体" w:hAnsi="宋体"/>
          <w:bCs/>
          <w:color w:val="auto"/>
          <w:sz w:val="24"/>
          <w:highlight w:val="none"/>
        </w:rPr>
        <w:t xml:space="preserve">（参加竞争性磋商的供应商以下简称“磋商供应商”）</w:t>
      </w:r>
      <w:r/>
    </w:p>
    <w:p>
      <w:pPr>
        <w:ind w:firstLine="480"/>
        <w:spacing w:after="0" w:line="360" w:lineRule="auto"/>
        <w:tabs>
          <w:tab w:val="left" w:pos="900" w:leader="none"/>
        </w:tabs>
        <w:rPr>
          <w:rFonts w:ascii="宋体" w:hAnsi="宋体"/>
          <w:bCs/>
          <w:color w:val="auto"/>
          <w:sz w:val="24"/>
          <w:highlight w:val="none"/>
        </w:rPr>
      </w:pPr>
      <w:r>
        <w:rPr>
          <w:rFonts w:hint="eastAsia" w:ascii="宋体" w:hAnsi="宋体"/>
          <w:bCs/>
          <w:color w:val="auto"/>
          <w:sz w:val="24"/>
          <w:highlight w:val="none"/>
        </w:rPr>
        <w:t xml:space="preserve">一、总则</w:t>
      </w:r>
      <w:r/>
    </w:p>
    <w:p>
      <w:pPr>
        <w:ind w:firstLine="480"/>
        <w:spacing w:after="0" w:line="360" w:lineRule="auto"/>
        <w:tabs>
          <w:tab w:val="left" w:pos="900" w:leader="none"/>
          <w:tab w:val="center" w:pos="4873" w:leader="none"/>
        </w:tabs>
        <w:rPr>
          <w:rFonts w:ascii="宋体" w:hAnsi="宋体"/>
          <w:color w:val="auto"/>
          <w:sz w:val="24"/>
          <w:highlight w:val="none"/>
        </w:rPr>
      </w:pPr>
      <w:r>
        <w:rPr>
          <w:rFonts w:hint="eastAsia" w:ascii="宋体" w:hAnsi="宋体"/>
          <w:color w:val="auto"/>
          <w:sz w:val="24"/>
          <w:highlight w:val="none"/>
        </w:rPr>
        <w:t xml:space="preserve">1.适用范围</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本磋商文件仅适用于</w:t>
      </w:r>
      <w:r>
        <w:rPr>
          <w:rFonts w:hint="eastAsia" w:ascii="宋体" w:hAnsi="宋体" w:cs="宋体"/>
          <w:color w:val="auto"/>
          <w:sz w:val="24"/>
          <w:highlight w:val="none"/>
        </w:rPr>
        <w:t xml:space="preserve">人民广场、天德湖公园南门等绿雕养护项目</w:t>
      </w:r>
      <w:r>
        <w:rPr>
          <w:rFonts w:hint="eastAsia" w:ascii="宋体" w:hAnsi="宋体"/>
          <w:color w:val="auto"/>
          <w:sz w:val="24"/>
          <w:highlight w:val="none"/>
        </w:rPr>
        <w:t xml:space="preserve">。</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2.项目采购方式</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本次采购采取竞争性磋商的方式。</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3.合格的磋商供应商</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3.1满足本磋商文件“竞争性磋商采购公告”中合格磋商供应商资格要求的规定。</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3.2满足本磋商文件实质性要求和条件的规定。</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4.参加磋商的费用</w:t>
      </w:r>
      <w:r/>
    </w:p>
    <w:p>
      <w:pPr>
        <w:ind w:firstLine="480"/>
        <w:spacing w:after="0" w:line="360" w:lineRule="auto"/>
        <w:rPr>
          <w:rFonts w:ascii="宋体" w:hAnsi="宋体"/>
          <w:color w:val="auto"/>
          <w:sz w:val="24"/>
          <w:highlight w:val="none"/>
        </w:rPr>
      </w:pPr>
      <w:r>
        <w:rPr>
          <w:rFonts w:hint="eastAsia" w:ascii="宋体" w:hAnsi="宋体"/>
          <w:color w:val="auto"/>
          <w:sz w:val="24"/>
          <w:highlight w:val="none"/>
        </w:rPr>
        <w:t xml:space="preserve">4.1参加磋商的供应商应自行承担所有与参加磋商有关的费用。不论最终的成交结果如何，</w:t>
      </w:r>
      <w:r>
        <w:rPr>
          <w:rFonts w:hint="eastAsia"/>
          <w:color w:val="auto"/>
          <w:sz w:val="24"/>
          <w:highlight w:val="none"/>
        </w:rPr>
        <w:t xml:space="preserve">江苏信和工程建设管理房地产评估有限公司</w:t>
      </w:r>
      <w:r>
        <w:rPr>
          <w:rFonts w:hint="eastAsia" w:ascii="宋体" w:hAnsi="宋体"/>
          <w:color w:val="auto"/>
          <w:sz w:val="24"/>
          <w:highlight w:val="none"/>
        </w:rPr>
        <w:t xml:space="preserve">（以下简称代理机构）在任何情况下均无义务和责任承担这些费用。</w:t>
      </w:r>
      <w:r/>
    </w:p>
    <w:p>
      <w:pPr>
        <w:ind w:firstLine="480"/>
        <w:spacing w:after="0" w:line="360" w:lineRule="auto"/>
        <w:rPr>
          <w:color w:val="auto"/>
          <w:sz w:val="24"/>
          <w:highlight w:val="none"/>
        </w:rPr>
      </w:pPr>
      <w:r>
        <w:rPr>
          <w:rFonts w:hint="eastAsia"/>
          <w:color w:val="auto"/>
          <w:sz w:val="24"/>
          <w:highlight w:val="none"/>
        </w:rPr>
        <w:t xml:space="preserve">4.2本项目采购代理服务费、评委评审费由采购人支付。采购代理服务费按《关于印发〈江苏省政府采购代理服务收费指导意见〉的通知》（苏政采协﹝2024﹞20号）规定标准计取。评委评审费按实另行支付，不包含在代理服务费中。</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5.磋商文件的约束力</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供应商一旦领取了本磋商文件并决定参加磋商，即被视为接受了本磋商文件的规定和约束，并且视为自竞争性磋商公告期限届满之日起已经知道或应当知道自身权益是否受到了损害。</w:t>
      </w:r>
      <w:r/>
    </w:p>
    <w:p>
      <w:pPr>
        <w:ind w:firstLine="480"/>
        <w:spacing w:after="0" w:line="360" w:lineRule="auto"/>
        <w:tabs>
          <w:tab w:val="left" w:pos="900" w:leader="none"/>
        </w:tabs>
        <w:rPr>
          <w:rFonts w:ascii="宋体" w:hAnsi="宋体"/>
          <w:color w:val="auto"/>
          <w:sz w:val="24"/>
          <w:highlight w:val="none"/>
        </w:rPr>
      </w:pPr>
      <w:r/>
      <w:bookmarkStart w:id="36" w:name="_Hlt26668969"/>
      <w:r/>
      <w:bookmarkEnd w:id="36"/>
      <w:r/>
      <w:bookmarkStart w:id="37" w:name="_Hlt26670354"/>
      <w:r/>
      <w:bookmarkEnd w:id="37"/>
      <w:r/>
      <w:bookmarkStart w:id="38" w:name="_Hlt26670348"/>
      <w:r/>
      <w:bookmarkEnd w:id="38"/>
      <w:r/>
      <w:bookmarkStart w:id="39" w:name="_Hlt26670345"/>
      <w:r/>
      <w:bookmarkEnd w:id="39"/>
      <w:r/>
      <w:bookmarkStart w:id="40" w:name="_Hlt26954828"/>
      <w:r/>
      <w:bookmarkEnd w:id="40"/>
      <w:r/>
      <w:bookmarkStart w:id="41" w:name="_Hlt26954830"/>
      <w:r/>
      <w:bookmarkEnd w:id="41"/>
      <w:r/>
      <w:bookmarkStart w:id="42" w:name="_Hlt26954832"/>
      <w:r/>
      <w:bookmarkEnd w:id="42"/>
      <w:r/>
      <w:bookmarkStart w:id="43" w:name="_Toc513029213"/>
      <w:r/>
      <w:bookmarkStart w:id="44" w:name="_Toc61149553"/>
      <w:r/>
      <w:bookmarkStart w:id="45" w:name="_Toc14577351"/>
      <w:r/>
      <w:bookmarkStart w:id="46" w:name="_Toc462564072"/>
      <w:r>
        <w:rPr>
          <w:rFonts w:hint="eastAsia" w:ascii="宋体" w:hAnsi="宋体"/>
          <w:color w:val="auto"/>
          <w:sz w:val="24"/>
          <w:highlight w:val="none"/>
        </w:rPr>
        <w:t xml:space="preserve">6.磋商文件的解释</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磋商文件需求部分（供应商资格要求、采购需求、商务技术评分标准）由采购人解释，其他部分由采购代理机构解释。</w:t>
      </w:r>
      <w:r/>
    </w:p>
    <w:p>
      <w:pPr>
        <w:ind w:firstLine="482"/>
        <w:spacing w:after="0" w:line="360" w:lineRule="auto"/>
        <w:rPr>
          <w:rFonts w:ascii="宋体" w:hAnsi="宋体" w:cs="宋体"/>
          <w:color w:val="auto"/>
          <w:sz w:val="24"/>
          <w:highlight w:val="none"/>
        </w:rPr>
      </w:pPr>
      <w:r>
        <w:rPr>
          <w:rFonts w:ascii="宋体" w:hAnsi="宋体" w:cs="宋体"/>
          <w:color w:val="auto"/>
          <w:sz w:val="24"/>
          <w:highlight w:val="none"/>
        </w:rPr>
        <w:t xml:space="preserve">7</w:t>
      </w:r>
      <w:r>
        <w:rPr>
          <w:rFonts w:hint="eastAsia" w:ascii="宋体" w:hAnsi="宋体" w:cs="宋体"/>
          <w:color w:val="auto"/>
          <w:sz w:val="24"/>
          <w:highlight w:val="none"/>
        </w:rPr>
        <w:t xml:space="preserve">.</w:t>
      </w:r>
      <w:bookmarkStart w:id="47" w:name="_Hlk241077800"/>
      <w:r>
        <w:rPr>
          <w:rFonts w:hint="eastAsia" w:ascii="宋体" w:hAnsi="宋体" w:cs="宋体"/>
          <w:color w:val="auto"/>
          <w:sz w:val="24"/>
          <w:highlight w:val="none"/>
        </w:rPr>
        <w:t xml:space="preserve">现场踏勘</w:t>
      </w:r>
      <w:bookmarkEnd w:id="47"/>
      <w:r/>
      <w:r/>
    </w:p>
    <w:p>
      <w:pPr>
        <w:ind w:firstLine="482"/>
        <w:spacing w:after="0" w:line="360" w:lineRule="auto"/>
        <w:rPr>
          <w:rFonts w:ascii="宋体" w:hAnsi="宋体" w:cs="宋体"/>
          <w:color w:val="auto"/>
          <w:sz w:val="24"/>
          <w:highlight w:val="none"/>
        </w:rPr>
      </w:pPr>
      <w:r>
        <w:rPr>
          <w:rFonts w:ascii="宋体" w:hAnsi="宋体" w:cs="宋体"/>
          <w:color w:val="auto"/>
          <w:sz w:val="24"/>
          <w:highlight w:val="none"/>
        </w:rPr>
        <w:t xml:space="preserve">7</w:t>
      </w:r>
      <w:r>
        <w:rPr>
          <w:rFonts w:hint="eastAsia" w:ascii="宋体" w:hAnsi="宋体" w:cs="宋体"/>
          <w:color w:val="auto"/>
          <w:sz w:val="24"/>
          <w:highlight w:val="none"/>
        </w:rPr>
        <w:t xml:space="preserve">.1根据自身投标需要，潜在供应商可对有关现场和周围环境进行踏勘，以获取编制投标文件和签署合同所需的信息。现场踏勘所发生的费用由供应商自己承担。</w:t>
      </w:r>
      <w:r/>
    </w:p>
    <w:p>
      <w:pPr>
        <w:ind w:firstLine="482"/>
        <w:spacing w:after="0" w:line="360" w:lineRule="auto"/>
        <w:rPr>
          <w:rFonts w:ascii="宋体" w:hAnsi="宋体" w:cs="宋体"/>
          <w:color w:val="auto"/>
          <w:sz w:val="24"/>
          <w:highlight w:val="none"/>
        </w:rPr>
      </w:pPr>
      <w:r>
        <w:rPr>
          <w:rFonts w:ascii="宋体" w:hAnsi="宋体" w:cs="宋体"/>
          <w:color w:val="auto"/>
          <w:sz w:val="24"/>
          <w:highlight w:val="none"/>
        </w:rPr>
        <w:t xml:space="preserve">7</w:t>
      </w:r>
      <w:r>
        <w:rPr>
          <w:rFonts w:hint="eastAsia" w:ascii="宋体" w:hAnsi="宋体" w:cs="宋体"/>
          <w:color w:val="auto"/>
          <w:sz w:val="24"/>
          <w:highlight w:val="none"/>
        </w:rPr>
        <w:t xml:space="preserve">.2采购人或采购代理机构向供应商提供的有关现场的资料和数据，是采购人或采购代理机构现有的并认为能使供应商可利用的资料。采购人或采购代理机构对供应商由此而做出的推论、理解和结论概不负责。</w:t>
      </w:r>
      <w:r/>
    </w:p>
    <w:p>
      <w:pPr>
        <w:ind w:firstLine="482"/>
        <w:spacing w:after="0" w:line="360" w:lineRule="auto"/>
        <w:rPr>
          <w:rFonts w:ascii="宋体" w:hAnsi="宋体" w:cs="宋体"/>
          <w:color w:val="auto"/>
          <w:sz w:val="24"/>
          <w:highlight w:val="none"/>
        </w:rPr>
      </w:pPr>
      <w:r>
        <w:rPr>
          <w:rFonts w:ascii="宋体" w:hAnsi="宋体" w:cs="宋体"/>
          <w:color w:val="auto"/>
          <w:sz w:val="24"/>
          <w:highlight w:val="none"/>
        </w:rPr>
        <w:t xml:space="preserve">7</w:t>
      </w:r>
      <w:r>
        <w:rPr>
          <w:rFonts w:hint="eastAsia" w:ascii="宋体" w:hAnsi="宋体" w:cs="宋体"/>
          <w:color w:val="auto"/>
          <w:sz w:val="24"/>
          <w:highlight w:val="none"/>
        </w:rPr>
        <w:t xml:space="preserve">.3经采购人允许，供应商可为踏勘目的进入采购人的项目现场，但供应商不得因此使采购人承担有关的责任和蒙受损失。供应商应承担现场踏勘的责任和风险。</w:t>
      </w:r>
      <w:r/>
    </w:p>
    <w:p>
      <w:pPr>
        <w:ind w:firstLine="482"/>
        <w:spacing w:after="0" w:line="360" w:lineRule="auto"/>
        <w:rPr>
          <w:rFonts w:ascii="宋体" w:hAnsi="宋体" w:cs="宋体"/>
          <w:color w:val="auto"/>
          <w:sz w:val="24"/>
          <w:highlight w:val="none"/>
        </w:rPr>
      </w:pPr>
      <w:r>
        <w:rPr>
          <w:rFonts w:ascii="宋体" w:hAnsi="宋体" w:cs="宋体"/>
          <w:color w:val="auto"/>
          <w:sz w:val="24"/>
          <w:highlight w:val="none"/>
        </w:rPr>
        <w:t xml:space="preserve">7</w:t>
      </w:r>
      <w:r>
        <w:rPr>
          <w:rFonts w:hint="eastAsia" w:ascii="宋体" w:hAnsi="宋体" w:cs="宋体"/>
          <w:color w:val="auto"/>
          <w:sz w:val="24"/>
          <w:highlight w:val="none"/>
        </w:rPr>
        <w:t xml:space="preserve">.4供应商应在现场踏勘时，熟悉现场及周围交通道路等情况，以获得一切可能影响其投标的直接资料。供应商中标后，不得以不完全了解现场情况为理由而向采购人或采购代理机构提出任何索赔的要求，对此采购人或采购代理机构不承担任何责任并将不作任何答复与考虑。</w:t>
      </w:r>
      <w:r/>
    </w:p>
    <w:p>
      <w:pPr>
        <w:ind w:firstLine="480"/>
        <w:spacing w:after="0" w:line="360" w:lineRule="auto"/>
        <w:tabs>
          <w:tab w:val="left" w:pos="900" w:leader="none"/>
        </w:tabs>
        <w:rPr>
          <w:rFonts w:ascii="宋体" w:hAnsi="宋体"/>
          <w:bCs/>
          <w:color w:val="auto"/>
          <w:sz w:val="24"/>
          <w:highlight w:val="none"/>
        </w:rPr>
      </w:pPr>
      <w:r>
        <w:rPr>
          <w:rFonts w:hint="eastAsia" w:ascii="宋体" w:hAnsi="宋体"/>
          <w:bCs/>
          <w:color w:val="auto"/>
          <w:sz w:val="24"/>
          <w:highlight w:val="none"/>
        </w:rPr>
        <w:t xml:space="preserve">二、磋商响应文件的编制</w:t>
      </w:r>
      <w:bookmarkEnd w:id="43"/>
      <w:r/>
      <w:bookmarkEnd w:id="44"/>
      <w:r/>
      <w:bookmarkEnd w:id="45"/>
      <w:r/>
      <w:bookmarkEnd w:id="46"/>
      <w:r/>
      <w:r/>
    </w:p>
    <w:p>
      <w:pPr>
        <w:ind w:firstLine="480"/>
        <w:spacing w:after="0" w:line="360" w:lineRule="auto"/>
        <w:tabs>
          <w:tab w:val="left" w:pos="900" w:leader="none"/>
        </w:tabs>
        <w:rPr>
          <w:rFonts w:ascii="宋体" w:hAnsi="宋体"/>
          <w:color w:val="auto"/>
          <w:sz w:val="24"/>
          <w:highlight w:val="none"/>
        </w:rPr>
      </w:pPr>
      <w:r/>
      <w:bookmarkStart w:id="48" w:name="_Hlt26670357"/>
      <w:r/>
      <w:bookmarkEnd w:id="48"/>
      <w:r/>
      <w:bookmarkStart w:id="49" w:name="_Hlt26954836"/>
      <w:r/>
      <w:bookmarkEnd w:id="49"/>
      <w:r/>
      <w:bookmarkStart w:id="50" w:name="_Toc513029210"/>
      <w:r/>
      <w:bookmarkStart w:id="51" w:name="_Toc20823282"/>
      <w:r/>
      <w:bookmarkStart w:id="52" w:name="_Toc16938526"/>
      <w:r/>
      <w:bookmarkStart w:id="53" w:name="_Toc16938553"/>
      <w:r/>
      <w:bookmarkStart w:id="54" w:name="_Toc513029237"/>
      <w:r/>
      <w:bookmarkStart w:id="55" w:name="_Toc20823309"/>
      <w:r>
        <w:rPr>
          <w:rFonts w:hint="eastAsia" w:ascii="宋体" w:hAnsi="宋体"/>
          <w:color w:val="auto"/>
          <w:sz w:val="24"/>
          <w:highlight w:val="none"/>
        </w:rPr>
        <w:t xml:space="preserve">1.磋商文件的构成</w:t>
      </w:r>
      <w:bookmarkEnd w:id="50"/>
      <w:r/>
      <w:bookmarkEnd w:id="51"/>
      <w:r/>
      <w:bookmarkEnd w:id="52"/>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1.1磋商文件由以下部分组成：</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（1）竞争性磋商公告</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（2）供应商须知</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（3）合同条款及格式</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（4）采购需求</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（5）评审方法和评审标准</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（6）响应文件组成和格式</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请仔细检查磋商文件是否齐全，如有缺漏请立即与采购人或采购代理机构联系解决。</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spacing w:after="0" w:line="360" w:lineRule="auto"/>
        <w:tabs>
          <w:tab w:val="left" w:pos="900" w:leader="none"/>
        </w:tabs>
        <w:rPr>
          <w:rFonts w:ascii="宋体" w:hAnsi="宋体"/>
          <w:color w:val="auto"/>
          <w:sz w:val="24"/>
          <w:highlight w:val="none"/>
        </w:rPr>
      </w:pPr>
      <w:r/>
      <w:bookmarkStart w:id="56" w:name="_Toc462564070"/>
      <w:r/>
      <w:bookmarkStart w:id="57" w:name="_Toc513029211"/>
      <w:r/>
      <w:bookmarkStart w:id="58" w:name="_Toc16938527"/>
      <w:r/>
      <w:bookmarkStart w:id="59" w:name="_Toc20823283"/>
      <w:r>
        <w:rPr>
          <w:rFonts w:hint="eastAsia" w:ascii="宋体" w:hAnsi="宋体"/>
          <w:color w:val="auto"/>
          <w:sz w:val="24"/>
          <w:highlight w:val="none"/>
        </w:rPr>
        <w:t xml:space="preserve">2.磋商文件的澄清</w:t>
      </w:r>
      <w:bookmarkEnd w:id="56"/>
      <w:r/>
      <w:bookmarkEnd w:id="57"/>
      <w:r/>
      <w:bookmarkEnd w:id="58"/>
      <w:r/>
      <w:bookmarkEnd w:id="59"/>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2.2采购人可以视采购项目的具体情况，组织供应商进行现场考察或召开磋商前答疑会，但不单独或分别组织只有一个供应商参加的现场考察和答疑会。</w:t>
      </w:r>
      <w:r/>
    </w:p>
    <w:p>
      <w:pPr>
        <w:ind w:firstLine="480"/>
        <w:spacing w:after="0" w:line="360" w:lineRule="auto"/>
        <w:tabs>
          <w:tab w:val="left" w:pos="900" w:leader="none"/>
        </w:tabs>
        <w:rPr>
          <w:rFonts w:ascii="宋体" w:hAnsi="宋体"/>
          <w:color w:val="auto"/>
          <w:sz w:val="24"/>
          <w:highlight w:val="none"/>
        </w:rPr>
      </w:pPr>
      <w:r/>
      <w:bookmarkStart w:id="60" w:name="_Toc462564071"/>
      <w:r/>
      <w:bookmarkStart w:id="61" w:name="_Toc513029212"/>
      <w:r/>
      <w:bookmarkStart w:id="62" w:name="_Toc16938528"/>
      <w:r/>
      <w:bookmarkStart w:id="63" w:name="_Toc20823284"/>
      <w:r>
        <w:rPr>
          <w:rFonts w:hint="eastAsia" w:ascii="宋体" w:hAnsi="宋体"/>
          <w:color w:val="auto"/>
          <w:sz w:val="24"/>
          <w:highlight w:val="none"/>
        </w:rPr>
        <w:t xml:space="preserve">3.磋商文件的修改</w:t>
      </w:r>
      <w:bookmarkEnd w:id="60"/>
      <w:r/>
      <w:bookmarkEnd w:id="61"/>
      <w:r/>
      <w:bookmarkEnd w:id="62"/>
      <w:r/>
      <w:bookmarkEnd w:id="63"/>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3.1在响应文件提交截止时间前，采购人或采购代理机构可以对磋商文件进行修改</w:t>
      </w:r>
      <w:r>
        <w:rPr>
          <w:rFonts w:hint="eastAsia" w:ascii="宋体" w:hAnsi="宋体"/>
          <w:color w:val="auto"/>
          <w:sz w:val="24"/>
          <w:highlight w:val="none"/>
          <w:lang w:val="zh-CN"/>
        </w:rPr>
        <w:t xml:space="preserve">、澄清或者修改的</w:t>
      </w:r>
      <w:r>
        <w:rPr>
          <w:rFonts w:hint="eastAsia" w:ascii="宋体" w:hAnsi="宋体"/>
          <w:color w:val="auto"/>
          <w:sz w:val="24"/>
          <w:highlight w:val="none"/>
        </w:rPr>
        <w:t xml:space="preserve">内容</w:t>
      </w:r>
      <w:r>
        <w:rPr>
          <w:rFonts w:hint="eastAsia" w:ascii="宋体" w:hAnsi="宋体"/>
          <w:color w:val="auto"/>
          <w:sz w:val="24"/>
          <w:highlight w:val="none"/>
          <w:lang w:val="zh-CN"/>
        </w:rPr>
        <w:t xml:space="preserve">作为磋商文件的组成部分。</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3.2采购人或采购代理机构有权按照法定的要求推迟响应文件提交截止日期和磋商日期。</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3.3磋商文件的修改将在“江苏政府采购网”公布，补充文件将作为磋商文件的组成部分，并对供应商具有约束力。</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到通知义务。敬请各潜在供应商关注本项目的“更正（澄清）公告”，并通过“苏采云”系统重新下载更正（澄清）后的采购文件（后缀名为“.kedt”），离线编制响应文件，否则，将自行承担相应的风险。</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0"/>
        <w:spacing w:after="0" w:line="360" w:lineRule="auto"/>
        <w:tabs>
          <w:tab w:val="left" w:pos="900" w:leader="none"/>
        </w:tabs>
        <w:rPr>
          <w:rFonts w:ascii="宋体" w:hAnsi="宋体"/>
          <w:color w:val="auto"/>
          <w:sz w:val="24"/>
          <w:highlight w:val="none"/>
        </w:rPr>
      </w:pPr>
      <w:r/>
      <w:bookmarkStart w:id="64" w:name="_Toc16938529"/>
      <w:r/>
      <w:bookmarkStart w:id="65" w:name="_Toc20823285"/>
      <w:r/>
      <w:bookmarkStart w:id="66" w:name="_Toc120614216"/>
      <w:r>
        <w:rPr>
          <w:rFonts w:hint="eastAsia" w:ascii="宋体" w:hAnsi="宋体"/>
          <w:color w:val="auto"/>
          <w:sz w:val="24"/>
          <w:highlight w:val="none"/>
        </w:rPr>
        <w:t xml:space="preserve">三、响应文件的编制</w:t>
      </w:r>
      <w:bookmarkEnd w:id="64"/>
      <w:r/>
      <w:bookmarkEnd w:id="65"/>
      <w:r/>
      <w:bookmarkEnd w:id="66"/>
      <w:r/>
      <w:r/>
    </w:p>
    <w:p>
      <w:pPr>
        <w:ind w:firstLine="480"/>
        <w:spacing w:after="0" w:line="360" w:lineRule="auto"/>
        <w:tabs>
          <w:tab w:val="left" w:pos="900" w:leader="none"/>
        </w:tabs>
        <w:rPr>
          <w:rFonts w:ascii="宋体" w:hAnsi="宋体"/>
          <w:color w:val="auto"/>
          <w:sz w:val="24"/>
          <w:highlight w:val="none"/>
        </w:rPr>
      </w:pPr>
      <w:r/>
      <w:bookmarkStart w:id="67" w:name="_Toc16938530"/>
      <w:r/>
      <w:bookmarkStart w:id="68" w:name="_Toc462564073"/>
      <w:r/>
      <w:bookmarkStart w:id="69" w:name="_Toc20823286"/>
      <w:r/>
      <w:bookmarkStart w:id="70" w:name="_Toc513029214"/>
      <w:r>
        <w:rPr>
          <w:rFonts w:hint="eastAsia" w:ascii="宋体" w:hAnsi="宋体"/>
          <w:color w:val="auto"/>
          <w:sz w:val="24"/>
          <w:highlight w:val="none"/>
        </w:rPr>
        <w:t xml:space="preserve">1.响应文件的语言及度量衡单位</w:t>
      </w:r>
      <w:bookmarkEnd w:id="67"/>
      <w:r/>
      <w:bookmarkEnd w:id="68"/>
      <w:r/>
      <w:bookmarkEnd w:id="69"/>
      <w:r/>
      <w:bookmarkEnd w:id="70"/>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1.1供应商提交的响应文件以及供应商与采购人或采购代理机构就有关磋商的所有来往通知、函件和文件均应使用简体中文。磋商文件中既有中文也有外文的，以中文意义为准。</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1.2除技术性能另有规定外，响应文件所使用的度量衡单位，均须采用国家法定计量单位。</w:t>
      </w:r>
      <w:r/>
    </w:p>
    <w:p>
      <w:pPr>
        <w:ind w:firstLine="480"/>
        <w:spacing w:after="0" w:line="360" w:lineRule="auto"/>
        <w:tabs>
          <w:tab w:val="left" w:pos="900" w:leader="none"/>
        </w:tabs>
        <w:rPr>
          <w:rFonts w:ascii="宋体" w:hAnsi="宋体"/>
          <w:color w:val="auto"/>
          <w:sz w:val="24"/>
          <w:highlight w:val="none"/>
        </w:rPr>
      </w:pPr>
      <w:r/>
      <w:bookmarkStart w:id="71" w:name="_Toc513029215"/>
      <w:r/>
      <w:bookmarkStart w:id="72" w:name="_Toc462564074"/>
      <w:r/>
      <w:bookmarkStart w:id="73" w:name="_Toc16938531"/>
      <w:r/>
      <w:bookmarkStart w:id="74" w:name="_Toc20823287"/>
      <w:r>
        <w:rPr>
          <w:rFonts w:hint="eastAsia" w:ascii="宋体" w:hAnsi="宋体"/>
          <w:color w:val="auto"/>
          <w:sz w:val="24"/>
          <w:highlight w:val="none"/>
        </w:rPr>
        <w:t xml:space="preserve">2.响应文件构成</w:t>
      </w:r>
      <w:bookmarkEnd w:id="71"/>
      <w:r/>
      <w:bookmarkEnd w:id="72"/>
      <w:r/>
      <w:bookmarkEnd w:id="73"/>
      <w:r/>
      <w:bookmarkEnd w:id="74"/>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2.1供应商编写的响应文件应包括资格审查文件、商务技术响应文件、报价响应文件。供应商按第六章响应文件的组成和格式要求编写响应文件。</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3.磋商响应报价</w:t>
      </w:r>
      <w:bookmarkStart w:id="75" w:name="_Hlt26670373"/>
      <w:r/>
      <w:bookmarkEnd w:id="75"/>
      <w:r>
        <w:rPr>
          <w:rFonts w:hint="eastAsia" w:ascii="宋体" w:hAnsi="宋体"/>
          <w:color w:val="auto"/>
          <w:sz w:val="24"/>
          <w:highlight w:val="none"/>
        </w:rPr>
        <w:t xml:space="preserve">表</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3.1磋商供应商应按照磋商文件规定格式填报磋商响应报价。每项产品或服务只允许有一个报价，任何有选择的报价将不予接受，磋商文件中另有规定的按规定执行。</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3.2标的物</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详见采购需求。</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3.3有关费用的处理</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本次采购磋商供应商的总报价应包括为完成本项目发生的所有费用，本磋商文件中另有规定的除外。</w:t>
      </w:r>
      <w:r/>
    </w:p>
    <w:p>
      <w:pPr>
        <w:pStyle w:val="1166"/>
        <w:ind w:firstLine="505"/>
        <w:spacing w:after="0" w:line="360" w:lineRule="auto"/>
        <w:rPr>
          <w:rFonts w:ascii="宋体" w:hAnsi="宋体"/>
          <w:color w:val="auto"/>
          <w:sz w:val="24"/>
          <w:highlight w:val="none"/>
        </w:rPr>
      </w:pPr>
      <w:r>
        <w:rPr>
          <w:rFonts w:hint="eastAsia" w:ascii="宋体" w:hAnsi="宋体"/>
          <w:color w:val="auto"/>
          <w:sz w:val="24"/>
          <w:highlight w:val="none"/>
        </w:rPr>
        <w:t xml:space="preserve">投标供应商的报价包含完成本项目服务工作期间所需的全部费用，包括但不限于所需的人工费、材料费、施工机具使用费、保险费、运输费、管理费、利润、措施项目费、其他项目费、规费、税金、</w:t>
      </w:r>
      <w:r>
        <w:rPr>
          <w:rFonts w:hint="eastAsia" w:ascii="宋体" w:hAnsi="宋体"/>
          <w:color w:val="auto"/>
          <w:sz w:val="24"/>
          <w:szCs w:val="24"/>
          <w:highlight w:val="none"/>
        </w:rPr>
        <w:t xml:space="preserve">责任（含安全）等各项应有费用、</w:t>
      </w:r>
      <w:r>
        <w:rPr>
          <w:rFonts w:hint="eastAsia" w:ascii="宋体" w:hAnsi="宋体"/>
          <w:color w:val="auto"/>
          <w:sz w:val="24"/>
          <w:highlight w:val="none"/>
        </w:rPr>
        <w:t xml:space="preserve">采购文件约定的其他各项费用、有关文件规定的政策性调价以及各种可能发生的风险费用，</w:t>
      </w:r>
      <w:r>
        <w:rPr>
          <w:rFonts w:hint="eastAsia" w:ascii="宋体" w:hAnsi="宋体"/>
          <w:color w:val="auto"/>
          <w:sz w:val="24"/>
          <w:szCs w:val="24"/>
          <w:highlight w:val="none"/>
        </w:rPr>
        <w:t xml:space="preserve">不论其在采购文件中是否有提及</w:t>
      </w:r>
      <w:r>
        <w:rPr>
          <w:rFonts w:hint="eastAsia" w:ascii="宋体" w:hAnsi="宋体"/>
          <w:color w:val="auto"/>
          <w:sz w:val="24"/>
          <w:highlight w:val="none"/>
        </w:rPr>
        <w:t xml:space="preserve">。投标供应商要认真阅读采购需求，慎重报价。如有漏项采购人将视同优惠。</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供应商须响应文件中的所有服务，且响应的服务只能有一个报价，报价应包括为实施委托项目约定范围内所需的全部费用。</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磋商文件未列明，而磋商供应商认为必需的费用也须列入报价。</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3.4报价采用的货币</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响应文件中的单价和总价，无特殊规定的采用人民币报价，以元为单位标注。磋商文件中另有规定的按规定执行。</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3.5磋商响应报价表上的价格应按磋商文件规定填写。</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4.磋商保证金：无</w:t>
      </w:r>
      <w:r/>
    </w:p>
    <w:p>
      <w:pPr>
        <w:ind w:firstLine="480"/>
        <w:spacing w:after="0" w:line="360" w:lineRule="auto"/>
        <w:tabs>
          <w:tab w:val="left" w:pos="900" w:leader="none"/>
        </w:tabs>
        <w:rPr>
          <w:rFonts w:ascii="宋体" w:hAnsi="宋体"/>
          <w:color w:val="auto"/>
          <w:sz w:val="24"/>
          <w:highlight w:val="none"/>
        </w:rPr>
      </w:pPr>
      <w:r/>
      <w:bookmarkStart w:id="76" w:name="_Hlt26954838"/>
      <w:r/>
      <w:bookmarkEnd w:id="76"/>
      <w:r/>
      <w:bookmarkStart w:id="77" w:name="_Hlt26670360"/>
      <w:r/>
      <w:bookmarkEnd w:id="77"/>
      <w:r/>
      <w:bookmarkStart w:id="78" w:name="_Hlt26668975"/>
      <w:r/>
      <w:bookmarkEnd w:id="78"/>
      <w:r/>
      <w:bookmarkStart w:id="79" w:name="_Toc49090511"/>
      <w:r/>
      <w:bookmarkStart w:id="80" w:name="_Toc14577360"/>
      <w:r>
        <w:rPr>
          <w:rFonts w:hint="eastAsia" w:ascii="宋体" w:hAnsi="宋体"/>
          <w:color w:val="auto"/>
          <w:sz w:val="24"/>
          <w:highlight w:val="none"/>
        </w:rPr>
        <w:t xml:space="preserve">5.</w:t>
      </w:r>
      <w:bookmarkEnd w:id="79"/>
      <w:r/>
      <w:bookmarkEnd w:id="80"/>
      <w:r>
        <w:rPr>
          <w:rFonts w:hint="eastAsia" w:ascii="宋体" w:hAnsi="宋体"/>
          <w:color w:val="auto"/>
          <w:sz w:val="24"/>
          <w:highlight w:val="none"/>
        </w:rPr>
        <w:t xml:space="preserve">磋商响应有效期</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5.1磋商响应有效期为采购文件规定的响应文件提交截止时间后九十（90）天。磋商响应有效期比规定短的将被视为非实质性响应而予以拒绝。</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6.磋商响应有效期的延长</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6.1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spacing w:after="0" w:line="360" w:lineRule="auto"/>
        <w:tabs>
          <w:tab w:val="left" w:pos="900" w:leader="none"/>
        </w:tabs>
        <w:rPr>
          <w:rFonts w:ascii="宋体" w:hAnsi="宋体"/>
          <w:color w:val="auto"/>
          <w:sz w:val="24"/>
          <w:highlight w:val="none"/>
        </w:rPr>
      </w:pPr>
      <w:r/>
      <w:bookmarkStart w:id="81" w:name="_Hlt26954852"/>
      <w:r/>
      <w:bookmarkEnd w:id="81"/>
      <w:r/>
      <w:bookmarkStart w:id="82" w:name="_Hlt26954739"/>
      <w:r/>
      <w:bookmarkEnd w:id="82"/>
      <w:r/>
      <w:bookmarkStart w:id="83" w:name="_Toc120614217"/>
      <w:r/>
      <w:bookmarkStart w:id="84" w:name="_Toc16938540"/>
      <w:r/>
      <w:bookmarkStart w:id="85" w:name="_Toc513029224"/>
      <w:r/>
      <w:bookmarkStart w:id="86" w:name="_Toc20823296"/>
      <w:r>
        <w:rPr>
          <w:rFonts w:hint="eastAsia" w:ascii="宋体" w:hAnsi="宋体"/>
          <w:color w:val="auto"/>
          <w:sz w:val="24"/>
          <w:highlight w:val="none"/>
        </w:rPr>
        <w:t xml:space="preserve">7.电子响应文件其他要求</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7.1电子招标投标交易平台（即“苏采云”系统）相关要求是本采购文件的组成部分。</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7.2供应商应对CA证书妥善保管，如被他人盗用投标，因此带来的后果均由供应商自行承担。</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7.3供应商应当对采购文件提出的实质性要求和条件作出实质性响应，并在电子投标系统逐条应答。</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7.4供应商应按要求提供的资格证明文件（如资质证书、资格证书）、技术资料（如白皮书、彩页、手册、检测报告等）扫描上传至投标系统。 </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8.供应商应当在采购文件要求提交响应文件的截止时间前，将响应文件提交至“苏采云”系统，逾期提交的响应文件，“苏采云”系统将自动拒收。各供应商应在规定时间内凭CA证书进行网上解密。</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四、响应文件的提交</w:t>
      </w:r>
      <w:bookmarkEnd w:id="83"/>
      <w:r/>
      <w:bookmarkEnd w:id="84"/>
      <w:r/>
      <w:bookmarkEnd w:id="85"/>
      <w:r/>
      <w:bookmarkEnd w:id="86"/>
      <w:r/>
      <w:r/>
    </w:p>
    <w:p>
      <w:pPr>
        <w:ind w:firstLine="480"/>
        <w:spacing w:after="0" w:line="360" w:lineRule="auto"/>
        <w:tabs>
          <w:tab w:val="left" w:pos="900" w:leader="none"/>
        </w:tabs>
        <w:rPr>
          <w:rFonts w:ascii="宋体" w:hAnsi="宋体"/>
          <w:color w:val="auto"/>
          <w:sz w:val="24"/>
          <w:highlight w:val="none"/>
        </w:rPr>
      </w:pPr>
      <w:r/>
      <w:bookmarkStart w:id="87" w:name="_Toc513029225"/>
      <w:r/>
      <w:bookmarkStart w:id="88" w:name="_Toc462564084"/>
      <w:r/>
      <w:bookmarkStart w:id="89" w:name="_Toc20823297"/>
      <w:r/>
      <w:bookmarkStart w:id="90" w:name="_Toc16938541"/>
      <w:r/>
      <w:bookmarkStart w:id="91" w:name="_Toc120614218"/>
      <w:r/>
      <w:bookmarkStart w:id="92" w:name="_Toc20823301"/>
      <w:r/>
      <w:bookmarkStart w:id="93" w:name="_Toc513029229"/>
      <w:r/>
      <w:bookmarkStart w:id="94" w:name="_Toc16938545"/>
      <w:r>
        <w:rPr>
          <w:rFonts w:hint="eastAsia" w:ascii="宋体" w:hAnsi="宋体"/>
          <w:color w:val="auto"/>
          <w:sz w:val="24"/>
          <w:highlight w:val="none"/>
        </w:rPr>
        <w:t xml:space="preserve">1.响应文件</w:t>
      </w:r>
      <w:bookmarkEnd w:id="87"/>
      <w:r/>
      <w:bookmarkEnd w:id="88"/>
      <w:r/>
      <w:bookmarkEnd w:id="89"/>
      <w:r/>
      <w:bookmarkEnd w:id="90"/>
      <w:r>
        <w:rPr>
          <w:rFonts w:hint="eastAsia" w:ascii="宋体" w:hAnsi="宋体"/>
          <w:color w:val="auto"/>
          <w:sz w:val="24"/>
          <w:highlight w:val="none"/>
        </w:rPr>
        <w:t xml:space="preserve">的提交</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线上提交与接收地点：供应商应当通过“苏采云”系统提交数据电文形式的响应文件（即电子投标文件），“苏采云”系统自动接收。</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2.提交响应文件截止日期</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2.1供应商上传电子响应文件的时间不得迟于竞争性磋商公告中规定的响应文件提交截止时间。</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供应商应充分考虑网络环境、网络带宽等风险因素，如因供应商自身原因造成的电子响应文件上传不成功由供应商自行承担全部责任。</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3.响应文件的密封（加密）要求</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3.1供应商应当按照采购文件和“苏采云”系统的要求编制并加密响应文件。本项目供应商须通过“苏采云”系统提供的政府采购客户端工具（使用“CA数字证书”）对其数据电文形式的响应文件进行加密。</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3.2供应商须通过“苏采云”系统提供的政府采购客户端工具（使用“CA数字证书”）加盖电子签章。</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说明：供应商应使用CA数字证书以及自备的能够登录“苏采云”系统的电脑，在达到开标时间后，使用CA数字证书解密各自响应文件。</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3.3供应商未按规定加密的响应文件，“苏采云”系统将拒收并提示。</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4.响应文件的拒收</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4.1“苏采云”系统拒绝接收在规定的响应文件提交截止时间后上传的任何响应文件。</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5.响应文件的撤回和修改</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5.1响应文件的撤回</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5.1.1电子响应文件的撤回</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供应商可在响应文件提交截止时间前，撤回其电子响应文件，具体操作方法见“苏采云”系统供应商操作手册。</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5.1.2供应商撤回电子响应文件，则视为其不再参与本项目竞争性磋商活动。</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5.2响应文件的修改</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供应商可在响应文件提交截止时间前，对其电子响应文件进行修改。具体操作方法见“苏采云”系统供应商操作手册。</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5.3在响应文件提交截止时间之后，供应商不得对其电子响应文件作任何修改。</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5.4在响应文件提交截止时间至磋商文件中规定的磋商响应有效期满之间的这段时间内，供应商不得撤回其响应文件。</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五</w:t>
      </w:r>
      <w:bookmarkEnd w:id="91"/>
      <w:r/>
      <w:bookmarkEnd w:id="92"/>
      <w:r/>
      <w:bookmarkEnd w:id="93"/>
      <w:r/>
      <w:bookmarkEnd w:id="94"/>
      <w:r/>
      <w:bookmarkStart w:id="95" w:name="_Toc20823302"/>
      <w:r/>
      <w:bookmarkStart w:id="96" w:name="_Toc16938546"/>
      <w:r/>
      <w:bookmarkStart w:id="97" w:name="_Toc513029230"/>
      <w:r>
        <w:rPr>
          <w:rFonts w:hint="eastAsia" w:ascii="宋体" w:hAnsi="宋体"/>
          <w:color w:val="auto"/>
          <w:sz w:val="24"/>
          <w:highlight w:val="none"/>
        </w:rPr>
        <w:t xml:space="preserve">、磋商与评审</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1.磋商仪式</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1.1采购人或采购代理机构将在磋商公告中规定的时间和地点组织磋商开标仪式。</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开标当天各供应商及时登录不见面开标大厅，响应文件提交截止时间后，采购代理机构将在系统</w:t>
      </w:r>
      <w:r>
        <w:rPr>
          <w:rFonts w:hint="eastAsia" w:ascii="宋体" w:hAnsi="宋体"/>
          <w:color w:val="auto"/>
          <w:sz w:val="24"/>
          <w:highlight w:val="none"/>
        </w:rPr>
        <w:t xml:space="preserve">内公布供应商名单，然后通过开标会议区发出响应文件解密的指令，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1.2磋商活动的文件解密工作由采购代理机构组织。</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注：各供应商请关注开标大厅交流区，在开标结束后，请勿离开开标大厅，磋商小组通知最后报价填报后，所有的响应供应商须在规定时间内填写并提交最后报价，未在规定时间内提交最后报价的，视作无效响应处理。</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2.磋商小组</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2.1磋商开始仪式结束后，采购人或采购代理机构将立即组织磋商小组进行评审。</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2.4磋商小组独立工作，负责评审所有响应文件并确定成交候选人。</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3.磋商评审过程的保密与公正</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3.1磋商小组、采购人或采购代理机构、相关监督人员等与评审工作有关的人员，对评审情况以及在评审过程中获悉的国家秘密、商业秘密负有保密责任。</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3.2在磋商评审过程中，磋商供应商不得以任何行为影响磋商评审过程，否则其响应文件将被作为无效响应文件。</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3.5在评审期间，采购人或采购代理机构将设专门人员与供应商联系。</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3.6采购人、采购代理机构和磋商小组不向未成交的供应商解释未成交原因，也不公布评审过程中的相关细节。</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4.评审过程中的澄清</w:t>
      </w:r>
      <w:r/>
    </w:p>
    <w:p>
      <w:pPr>
        <w:ind w:firstLine="480"/>
        <w:spacing w:after="0" w:line="360" w:lineRule="auto"/>
        <w:tabs>
          <w:tab w:val="left" w:pos="900" w:leader="none"/>
        </w:tabs>
        <w:rPr>
          <w:rFonts w:ascii="宋体" w:hAnsi="宋体"/>
          <w:color w:val="auto"/>
          <w:sz w:val="24"/>
          <w:highlight w:val="none"/>
          <w:lang w:val="zh-CN"/>
        </w:rPr>
      </w:pPr>
      <w:r>
        <w:rPr>
          <w:rFonts w:hint="eastAsia" w:ascii="宋体" w:hAnsi="宋体"/>
          <w:color w:val="auto"/>
          <w:sz w:val="24"/>
          <w:highlight w:val="none"/>
        </w:rPr>
        <w:t xml:space="preserve">4.1</w:t>
      </w:r>
      <w:r>
        <w:rPr>
          <w:rFonts w:hint="eastAsia" w:ascii="宋体" w:hAnsi="宋体"/>
          <w:color w:val="auto"/>
          <w:sz w:val="24"/>
          <w:highlight w:val="none"/>
          <w:lang w:val="zh-CN"/>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spacing w:after="0" w:line="360" w:lineRule="auto"/>
        <w:tabs>
          <w:tab w:val="left" w:pos="900" w:leader="none"/>
        </w:tabs>
        <w:rPr>
          <w:rFonts w:ascii="宋体" w:hAnsi="宋体"/>
          <w:color w:val="auto"/>
          <w:sz w:val="24"/>
          <w:highlight w:val="none"/>
          <w:lang w:val="zh-CN"/>
        </w:rPr>
      </w:pPr>
      <w:r>
        <w:rPr>
          <w:rFonts w:hint="eastAsia" w:ascii="宋体" w:hAnsi="宋体"/>
          <w:color w:val="auto"/>
          <w:sz w:val="24"/>
          <w:highlight w:val="none"/>
        </w:rPr>
        <w:t xml:space="preserve">4.2</w:t>
      </w:r>
      <w:r>
        <w:rPr>
          <w:rFonts w:hint="eastAsia" w:ascii="宋体" w:hAnsi="宋体"/>
          <w:color w:val="auto"/>
          <w:sz w:val="24"/>
          <w:highlight w:val="none"/>
          <w:lang w:val="zh-CN"/>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4.3接到磋商小组</w:t>
      </w:r>
      <w:r>
        <w:rPr>
          <w:rFonts w:hint="eastAsia" w:ascii="宋体" w:hAnsi="宋体"/>
          <w:color w:val="auto"/>
          <w:sz w:val="24"/>
          <w:highlight w:val="none"/>
          <w:lang w:val="zh-CN"/>
        </w:rPr>
        <w:t xml:space="preserve">澄清、说明或更正</w:t>
      </w:r>
      <w:r>
        <w:rPr>
          <w:rFonts w:hint="eastAsia" w:ascii="宋体" w:hAnsi="宋体"/>
          <w:color w:val="auto"/>
          <w:sz w:val="24"/>
          <w:highlight w:val="none"/>
        </w:rPr>
        <w:t xml:space="preserve">要求的供应商应按磋商小组规定的时间和格式作出</w:t>
      </w:r>
      <w:r>
        <w:rPr>
          <w:rFonts w:hint="eastAsia" w:ascii="宋体" w:hAnsi="宋体"/>
          <w:color w:val="auto"/>
          <w:sz w:val="24"/>
          <w:highlight w:val="none"/>
          <w:lang w:val="zh-CN"/>
        </w:rPr>
        <w:t xml:space="preserve">澄清、说明或更正</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澄清、说明或更正</w:t>
      </w:r>
      <w:r>
        <w:rPr>
          <w:rFonts w:hint="eastAsia" w:ascii="宋体" w:hAnsi="宋体"/>
          <w:color w:val="auto"/>
          <w:sz w:val="24"/>
          <w:highlight w:val="none"/>
        </w:rPr>
        <w:t xml:space="preserve">的内容作为响应文件的补充部分，但实质性内容不得作任何更改。</w:t>
      </w:r>
      <w:r/>
    </w:p>
    <w:p>
      <w:pPr>
        <w:ind w:firstLine="480"/>
        <w:spacing w:after="0" w:line="360" w:lineRule="auto"/>
        <w:tabs>
          <w:tab w:val="left" w:pos="900" w:leader="none"/>
        </w:tabs>
        <w:rPr>
          <w:rFonts w:ascii="宋体" w:hAnsi="宋体"/>
          <w:color w:val="auto"/>
          <w:sz w:val="24"/>
          <w:highlight w:val="none"/>
          <w:lang w:val="zh-CN"/>
        </w:rPr>
      </w:pPr>
      <w:r>
        <w:rPr>
          <w:rFonts w:hint="eastAsia" w:ascii="宋体" w:hAnsi="宋体"/>
          <w:color w:val="auto"/>
          <w:sz w:val="24"/>
          <w:highlight w:val="none"/>
          <w:lang w:val="zh-CN"/>
        </w:rPr>
        <w:t xml:space="preserve">4.4接到磋商小组澄清、说明或更正要求的供应商如未按规定作出澄清、说明或更正的，其风险由供应商自行承担。</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5.对响应文件的审查</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5.1响应文件初审分为资格性审查和符合性审查。</w:t>
      </w:r>
      <w:r/>
    </w:p>
    <w:p>
      <w:pPr>
        <w:ind w:firstLine="480"/>
        <w:spacing w:after="0" w:line="360" w:lineRule="auto"/>
        <w:tabs>
          <w:tab w:val="left" w:pos="900" w:leader="none"/>
        </w:tabs>
        <w:rPr>
          <w:rFonts w:ascii="宋体" w:hAnsi="宋体"/>
          <w:color w:val="auto"/>
          <w:sz w:val="24"/>
          <w:highlight w:val="none"/>
          <w:lang w:val="zh-CN"/>
        </w:rPr>
      </w:pPr>
      <w:r>
        <w:rPr>
          <w:rFonts w:hint="eastAsia" w:ascii="宋体" w:hAnsi="宋体"/>
          <w:color w:val="auto"/>
          <w:sz w:val="24"/>
          <w:highlight w:val="none"/>
        </w:rPr>
        <w:t xml:space="preserve">5.1.1资格性检查：</w:t>
      </w:r>
      <w:r>
        <w:rPr>
          <w:rFonts w:hint="eastAsia" w:ascii="宋体" w:hAnsi="宋体"/>
          <w:color w:val="auto"/>
          <w:sz w:val="24"/>
          <w:highlight w:val="none"/>
          <w:lang w:val="zh-CN"/>
        </w:rPr>
        <w:t xml:space="preserve">由磋商小组对响应文件中的资格审查文件进行审查。</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磋商小组在进行资格审查的同时，将在“信用中国”网站查询供应商的信用记录，以确定供应商是否具备磋商资格。</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5.1.2符合性审查：依据磋商文件的规定，由磋商小组从响应文件的有效性、完整性和对磋商文件的响应程度进行审查，以确定是否对磋商文件的实质性要求作出响应。</w:t>
      </w:r>
      <w:r/>
    </w:p>
    <w:p>
      <w:pPr>
        <w:ind w:firstLine="480"/>
        <w:spacing w:after="0" w:line="360" w:lineRule="auto"/>
        <w:tabs>
          <w:tab w:val="left" w:pos="900" w:leader="none"/>
        </w:tabs>
        <w:rPr>
          <w:rFonts w:ascii="宋体" w:hAnsi="宋体"/>
          <w:color w:val="auto"/>
          <w:sz w:val="24"/>
          <w:highlight w:val="none"/>
          <w:lang w:val="zh-CN"/>
        </w:rPr>
      </w:pPr>
      <w:r>
        <w:rPr>
          <w:rFonts w:hint="eastAsia" w:ascii="宋体" w:hAnsi="宋体"/>
          <w:color w:val="auto"/>
          <w:sz w:val="24"/>
          <w:highlight w:val="none"/>
        </w:rPr>
        <w:t xml:space="preserve">5.1.3未通过资格审查或符合性审查的供应商，</w:t>
      </w:r>
      <w:r>
        <w:rPr>
          <w:rFonts w:hint="eastAsia" w:ascii="宋体" w:hAnsi="宋体"/>
          <w:color w:val="auto"/>
          <w:sz w:val="24"/>
          <w:highlight w:val="none"/>
          <w:lang w:val="zh-CN"/>
        </w:rPr>
        <w:t xml:space="preserve">采购代理机构将在苏采云系统中告知未通过资格审查或符合性审查的原因，评审结束后，采购代理机构将不再告知未通过资格审查或符合性审查的原因。  </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5.2</w:t>
      </w:r>
      <w:r>
        <w:rPr>
          <w:rFonts w:hint="eastAsia" w:ascii="宋体" w:hAnsi="宋体"/>
          <w:color w:val="auto"/>
          <w:sz w:val="24"/>
          <w:highlight w:val="none"/>
          <w:lang w:val="zh-CN"/>
        </w:rPr>
        <w:t xml:space="preserve">在正式磋商之前</w:t>
      </w:r>
      <w:r>
        <w:rPr>
          <w:rFonts w:hint="eastAsia" w:ascii="宋体" w:hAnsi="宋体"/>
          <w:color w:val="auto"/>
          <w:sz w:val="24"/>
          <w:highlight w:val="none"/>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所谓重大负偏离或保留是指与磋商文件规定的实质性要求存在负偏离，或者在实质上与磋商文件不一致，并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5.3如果响应文件实质上没有响应磋商文件的要求，磋商小组将予以拒绝，供应商不得通过修改或撤销不符合要求的偏离或保留而使其响应文件成为实质性响应的文件。</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5.4磋商小组将对确定为实质性响应的文件进行进一步审核，看其是否有计算上或累加上的算术错误，修正错误的原则如下：</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（1）响应文件中报价总表内容与响应文件中相应内容不一致的，以报价总表为准。</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（2）大写金额和小写金额不一致的，以大写金额为准。</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（3）单价金额小数点或者百分比有明显错位的，以报价总表的总价为准，并修改单价。</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同时出现两种以上错误的，按照前款规定的顺序修正。</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5.6磋商小组将允许修正响应文件中不构成重大偏离的、微小的、非正规的、不一致的或不规则的地方，但这些修改不能影响任何供应商相应的名次排列。</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5.7供应商在评审全过程中应保持通讯畅通，并安排专人与采购人或采购代理机构及磋商小组联系。</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6.响应文件线上格式要求</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6.1供应商应当通过“苏采云”系统提交数据电文形式的响应文件（即电子投标文件）。</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6.2通过“苏采云”系统提交政府采购客户端工具导出加密的响应文件（后缀名为zip）。</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6.3本项目采用线上投标，即供应商响应文件从政府采购客户端工具制作并通过“苏采云”系统提交，未提供线上响应文件的，投标无效。</w:t>
      </w:r>
      <w:bookmarkEnd w:id="95"/>
      <w:r/>
      <w:bookmarkEnd w:id="96"/>
      <w:r/>
      <w:bookmarkEnd w:id="97"/>
      <w:r/>
      <w:bookmarkStart w:id="98" w:name="_Toc120614219"/>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7.被认定为未实质性响应磋商文件的情形：</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7.1出现下列情形之一的，作无效响应处理：</w:t>
      </w:r>
      <w:r>
        <w:rPr>
          <w:rFonts w:hint="eastAsia" w:ascii="宋体" w:hAnsi="宋体"/>
          <w:color w:val="auto"/>
          <w:sz w:val="24"/>
          <w:highlight w:val="none"/>
        </w:rPr>
        <w:tab/>
      </w:r>
      <w:r/>
    </w:p>
    <w:p>
      <w:pPr>
        <w:ind w:firstLine="480"/>
        <w:spacing w:after="0" w:line="360" w:lineRule="auto"/>
        <w:tabs>
          <w:tab w:val="left" w:pos="900" w:leader="none"/>
        </w:tabs>
        <w:rPr>
          <w:rFonts w:ascii="宋体" w:hAnsi="宋体"/>
          <w:bCs/>
          <w:color w:val="auto"/>
          <w:sz w:val="24"/>
          <w:szCs w:val="21"/>
          <w:highlight w:val="none"/>
        </w:rPr>
      </w:pPr>
      <w:r>
        <w:rPr>
          <w:rFonts w:hint="eastAsia" w:ascii="宋体" w:hAnsi="宋体"/>
          <w:color w:val="auto"/>
          <w:sz w:val="24"/>
          <w:highlight w:val="none"/>
        </w:rPr>
        <w:t xml:space="preserve">7.1.1</w:t>
      </w:r>
      <w:r>
        <w:rPr>
          <w:rFonts w:hint="eastAsia" w:ascii="宋体" w:hAnsi="宋体"/>
          <w:bCs/>
          <w:color w:val="auto"/>
          <w:sz w:val="24"/>
          <w:szCs w:val="21"/>
          <w:highlight w:val="none"/>
        </w:rPr>
        <w:t xml:space="preserve">供应商未按照磋商文件要求上传电子响应文件的；</w:t>
      </w:r>
      <w:r/>
    </w:p>
    <w:p>
      <w:pPr>
        <w:ind w:firstLine="488"/>
        <w:spacing w:after="0"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7.1.2</w:t>
      </w:r>
      <w:r>
        <w:rPr>
          <w:rFonts w:hint="eastAsia" w:ascii="宋体" w:hAnsi="宋体"/>
          <w:color w:val="auto"/>
          <w:sz w:val="24"/>
          <w:highlight w:val="none"/>
        </w:rPr>
        <w:t xml:space="preserve">供应商在系统规定的时间内未成功解密电子响应文件的；</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7.1.3未完整上传响应文件电子文档的，或上传的响应文件打不开的；</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7.1.4响应文件未按照磋商文件要求加盖电子签章或签署的；</w:t>
      </w:r>
      <w:r/>
    </w:p>
    <w:p>
      <w:pPr>
        <w:ind w:firstLine="488"/>
        <w:spacing w:after="0" w:line="360" w:lineRule="auto"/>
        <w:rPr>
          <w:rFonts w:ascii="宋体" w:hAnsi="宋体"/>
          <w:color w:val="auto"/>
          <w:sz w:val="24"/>
          <w:highlight w:val="none"/>
        </w:rPr>
      </w:pPr>
      <w:r>
        <w:rPr>
          <w:rFonts w:hint="eastAsia" w:ascii="宋体" w:hAnsi="宋体"/>
          <w:color w:val="auto"/>
          <w:sz w:val="24"/>
          <w:highlight w:val="none"/>
        </w:rPr>
        <w:t xml:space="preserve">7.1.5未按采购文件规定的格式填写，内容不全或关键字迹模糊、无法辨认的；</w:t>
      </w:r>
      <w:r/>
    </w:p>
    <w:p>
      <w:pPr>
        <w:ind w:firstLine="488"/>
        <w:spacing w:after="0" w:line="360" w:lineRule="auto"/>
        <w:rPr>
          <w:rFonts w:ascii="宋体" w:hAnsi="宋体"/>
          <w:color w:val="auto"/>
          <w:sz w:val="24"/>
          <w:highlight w:val="none"/>
        </w:rPr>
      </w:pPr>
      <w:r>
        <w:rPr>
          <w:rFonts w:hint="eastAsia" w:ascii="宋体" w:hAnsi="宋体"/>
          <w:color w:val="auto"/>
          <w:sz w:val="24"/>
          <w:highlight w:val="none"/>
        </w:rPr>
        <w:t xml:space="preserve">7.1.6供应商不具备磋商文件中规定的资格要求或未按采购文件规定的要求提供资格证明文件的；</w:t>
      </w:r>
      <w:r/>
    </w:p>
    <w:p>
      <w:pPr>
        <w:ind w:firstLine="488"/>
        <w:spacing w:after="0" w:line="360" w:lineRule="auto"/>
        <w:rPr>
          <w:rFonts w:ascii="宋体" w:hAnsi="宋体"/>
          <w:color w:val="auto"/>
          <w:sz w:val="24"/>
          <w:highlight w:val="none"/>
        </w:rPr>
      </w:pPr>
      <w:r>
        <w:rPr>
          <w:rFonts w:hint="eastAsia" w:ascii="宋体" w:hAnsi="宋体"/>
          <w:color w:val="auto"/>
          <w:sz w:val="24"/>
          <w:highlight w:val="none"/>
        </w:rPr>
        <w:t xml:space="preserve">7.1.7被“信用中国”网站（www.creditchina.gov.cn）列入失信被执行人名单、重大税收违法失信主体名单、严重失信主体名单；</w:t>
      </w:r>
      <w:r/>
    </w:p>
    <w:p>
      <w:pPr>
        <w:ind w:firstLine="488"/>
        <w:spacing w:after="0" w:line="360" w:lineRule="auto"/>
        <w:rPr>
          <w:rFonts w:ascii="宋体" w:hAnsi="宋体"/>
          <w:color w:val="auto"/>
          <w:sz w:val="24"/>
          <w:highlight w:val="none"/>
        </w:rPr>
      </w:pPr>
      <w:r>
        <w:rPr>
          <w:rFonts w:hint="eastAsia" w:ascii="宋体" w:hAnsi="宋体"/>
          <w:color w:val="auto"/>
          <w:sz w:val="24"/>
          <w:highlight w:val="none"/>
        </w:rPr>
        <w:t xml:space="preserve">7.1.8响应报价超过本项目预算金额或者最高限价的；</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7.1.9磋商小组认定供应商的报价为异常低价，应当要求相关供应商在规定时间内</w:t>
      </w:r>
      <w:r>
        <w:rPr>
          <w:rFonts w:ascii="宋体" w:hAnsi="宋体"/>
          <w:color w:val="auto"/>
          <w:sz w:val="24"/>
          <w:highlight w:val="none"/>
        </w:rPr>
        <w:t xml:space="preserve">，提供项目具体成本测算等与报价合理性相关的书面说明及相关证明材料</w:t>
      </w:r>
      <w:r>
        <w:rPr>
          <w:rFonts w:hint="eastAsia" w:ascii="宋体" w:hAnsi="宋体"/>
          <w:color w:val="auto"/>
          <w:sz w:val="24"/>
          <w:highlight w:val="none"/>
        </w:rPr>
        <w:t xml:space="preserve">，</w:t>
      </w:r>
      <w:r>
        <w:rPr>
          <w:rFonts w:ascii="宋体" w:hAnsi="宋体"/>
          <w:color w:val="auto"/>
          <w:sz w:val="24"/>
          <w:highlight w:val="none"/>
        </w:rPr>
        <w:t xml:space="preserve">对投标</w:t>
      </w:r>
      <w:r>
        <w:rPr>
          <w:rFonts w:hint="eastAsia" w:ascii="宋体" w:hAnsi="宋体"/>
          <w:color w:val="auto"/>
          <w:sz w:val="24"/>
          <w:highlight w:val="none"/>
        </w:rPr>
        <w:t xml:space="preserve">（响应）</w:t>
      </w:r>
      <w:r>
        <w:rPr>
          <w:rFonts w:ascii="宋体" w:hAnsi="宋体"/>
          <w:color w:val="auto"/>
          <w:sz w:val="24"/>
          <w:highlight w:val="none"/>
        </w:rPr>
        <w:t xml:space="preserve">价格作出解释</w:t>
      </w:r>
      <w:r>
        <w:rPr>
          <w:rFonts w:hint="eastAsia" w:ascii="宋体" w:hAnsi="宋体"/>
          <w:color w:val="auto"/>
          <w:sz w:val="24"/>
          <w:highlight w:val="none"/>
        </w:rPr>
        <w:t xml:space="preserve">；投标（响应）供应商不提供书面说明、证明材料，或者提供的书面说明、证明材料不能证明其报价合理性的，磋商小组应当将其作为无效投标（响应）处理；</w:t>
      </w:r>
      <w:r/>
    </w:p>
    <w:p>
      <w:pPr>
        <w:ind w:firstLine="488"/>
        <w:spacing w:after="0" w:line="360" w:lineRule="auto"/>
        <w:rPr>
          <w:rFonts w:ascii="宋体" w:hAnsi="宋体"/>
          <w:color w:val="auto"/>
          <w:sz w:val="24"/>
          <w:highlight w:val="none"/>
        </w:rPr>
      </w:pPr>
      <w:r>
        <w:rPr>
          <w:rFonts w:hint="eastAsia" w:ascii="宋体" w:hAnsi="宋体"/>
          <w:color w:val="auto"/>
          <w:sz w:val="24"/>
          <w:highlight w:val="none"/>
        </w:rPr>
        <w:t xml:space="preserve">7.1.10改变采购文件清单给出的工作内容、面积、计量单位、工程量等；</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7.1.11磋商响应文件载明的项目完成期限超过采购文件规定的期限；</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7.1.12明显不符合技术规范、技术标准的要求，或者对采购文件质量要求未明确响应的；</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7.1.13投标文件内容不全或不符合采购文件中规定的其他实质性要求的；</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7.1.14响应文件含有采购人不能接受的附加条件的；</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7.1.15供应商</w:t>
      </w:r>
      <w:r>
        <w:rPr>
          <w:rFonts w:hint="eastAsia" w:ascii="宋体" w:hAnsi="宋体" w:cs="宋体"/>
          <w:color w:val="auto"/>
          <w:sz w:val="24"/>
          <w:highlight w:val="none"/>
        </w:rPr>
        <w:t xml:space="preserve">未在规定时间内提交最后报价的</w:t>
      </w:r>
      <w:r>
        <w:rPr>
          <w:rFonts w:hint="eastAsia" w:ascii="宋体" w:hAnsi="宋体"/>
          <w:color w:val="auto"/>
          <w:sz w:val="24"/>
          <w:highlight w:val="none"/>
        </w:rPr>
        <w:t xml:space="preserve">；</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7.1.16不同供应商的响应文件由同一单位或者个人编制的；不同供应商的磋商响应文件相互混传的；</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7.1.17不同供应商委托同一单位或者个人办理磋商事宜（包含使用同一M</w:t>
      </w:r>
      <w:r>
        <w:rPr>
          <w:rFonts w:ascii="宋体" w:hAnsi="宋体"/>
          <w:color w:val="auto"/>
          <w:sz w:val="24"/>
          <w:highlight w:val="none"/>
        </w:rPr>
        <w:t xml:space="preserve">AC</w:t>
      </w:r>
      <w:r>
        <w:rPr>
          <w:rFonts w:hint="eastAsia" w:ascii="宋体" w:hAnsi="宋体"/>
          <w:color w:val="auto"/>
          <w:sz w:val="24"/>
          <w:highlight w:val="none"/>
        </w:rPr>
        <w:t xml:space="preserve">地址的计算机提交或者解密电子响应文件的情形）；</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7.1.18不同供应商的响应文件载明的项目管理成员或者联系人员为同一人；</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7.1.19不同供应商的响应文件异常一致或者响应报价呈规律性差异或者不同供应商的响应文件错漏之处雷同；</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7.1.20不同投标人的单位负责人为同一人或者存在直接控股、管理关系的；</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7.1.21除单一来源采购项目外，为采购项目提供整体设计、规范编制或者项目管理、监理、检测等服务的；</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7.1.22不同供应商的技术服务方案（或施工组织设计方案）基本雷同的；不同供应商的磋商响应文件出现了评审委员会认为不应当雷同的情况；</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7.1.23不同的投标人响应文件制作的M</w:t>
      </w:r>
      <w:r>
        <w:rPr>
          <w:rFonts w:ascii="宋体" w:hAnsi="宋体"/>
          <w:color w:val="auto"/>
          <w:sz w:val="24"/>
          <w:highlight w:val="none"/>
        </w:rPr>
        <w:t xml:space="preserve">AC</w:t>
      </w:r>
      <w:r>
        <w:rPr>
          <w:rFonts w:hint="eastAsia" w:ascii="宋体" w:hAnsi="宋体"/>
          <w:color w:val="auto"/>
          <w:sz w:val="24"/>
          <w:highlight w:val="none"/>
        </w:rPr>
        <w:t xml:space="preserve">地址一致的；</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7.1.24供应商递交两份或多份内容不同的磋商响应文件，或在一份磋商响应文件中对同一采购项目报有两个或多个报价，且未声明哪一个有效（按采购文件规定提交备选投标方案的除外）；</w:t>
      </w:r>
      <w:r/>
    </w:p>
    <w:p>
      <w:pPr>
        <w:ind w:firstLine="488"/>
        <w:spacing w:after="0" w:line="360" w:lineRule="auto"/>
        <w:rPr>
          <w:rFonts w:ascii="宋体" w:hAnsi="宋体"/>
          <w:color w:val="auto"/>
          <w:sz w:val="24"/>
          <w:highlight w:val="none"/>
        </w:rPr>
      </w:pPr>
      <w:r>
        <w:rPr>
          <w:rFonts w:hint="eastAsia" w:ascii="宋体" w:hAnsi="宋体"/>
          <w:color w:val="auto"/>
          <w:sz w:val="24"/>
          <w:highlight w:val="none"/>
        </w:rPr>
        <w:t xml:space="preserve">7.1.25评标委员会认定投标人的报价明显低于其他通过符合性审查的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7.1.26提供虚假材料的；</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7.1.27法律、法规和采购文件规定的其他无效情形。</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7.2出现下列情形之一的，磋商失败：</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7.2.1符合条件的供应商或者对磋商文件作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7.2.2出现影响采购公正性的违法违规行为的。</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7.2.3因重大变故，采购任务取消的。</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7.2.4磋商小组认定磋商文件存在歧义、重大缺陷导致评审工作无法进行。</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7.2.5因系统故障原因造成磋商无法继续进行的（适用于不见面磋商模式）。</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7.3响应文件提交截止时间结束后参加磋商的供应商不足三家的处理：</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7.3.1如出现响应文件提交截止时间结束后参加磋商的供应商或者在评审期间对磋商文件做出实质响应的供应商不足三家的情况，按政府采购相关规定执行。</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六</w:t>
      </w:r>
      <w:bookmarkEnd w:id="98"/>
      <w:r>
        <w:rPr>
          <w:rFonts w:hint="eastAsia" w:ascii="宋体" w:hAnsi="宋体"/>
          <w:color w:val="auto"/>
          <w:sz w:val="24"/>
          <w:highlight w:val="none"/>
        </w:rPr>
        <w:t xml:space="preserve">、成交</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1.确定成交单位</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1.1成交候选供应商的选取原则和数量见磋商文件第五章规定。</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1.2采购人授权磋商小组在成交候选供应商中直接确定成交供应商。</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1.3采购代理机构将在“江苏政府采购网”发布成交结果公告，公告期限为1个工作日。</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1.4若有充分证据证明，成交供应商出现下列情况之一的，一经查实，将被取消成交资格：</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1.4.1提供虚假材料谋取成交的。</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1.4.2向采购人或采购代理机构行贿或者为评审专家提供其他不正当利益的。</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1.4.3恶意竞争，最后报价明显低于其自身合理成本且又无法提供证明的。</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1.4.4属于本文件规定的无效条件，但在评审过程中又未被磋商小组发现的。</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1.4.5</w:t>
      </w:r>
      <w:r>
        <w:rPr>
          <w:rFonts w:hint="eastAsia" w:ascii="宋体" w:hAnsi="宋体"/>
          <w:color w:val="auto"/>
          <w:sz w:val="24"/>
          <w:highlight w:val="none"/>
          <w:lang w:val="zh-CN"/>
        </w:rPr>
        <w:t xml:space="preserve">与评审专家、采购人、</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供应商或者采购中心工作人员恶意串通的</w:t>
      </w:r>
      <w:r>
        <w:rPr>
          <w:rFonts w:hint="eastAsia" w:ascii="宋体" w:hAnsi="宋体"/>
          <w:color w:val="auto"/>
          <w:sz w:val="24"/>
          <w:highlight w:val="none"/>
        </w:rPr>
        <w:t xml:space="preserve">。</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1.4.6采取不正当手段诋毁、排挤其他供应商的。</w:t>
      </w:r>
      <w:r/>
    </w:p>
    <w:p>
      <w:pPr>
        <w:ind w:firstLine="480"/>
        <w:spacing w:after="0" w:line="360" w:lineRule="auto"/>
        <w:tabs>
          <w:tab w:val="left" w:pos="900" w:leader="none"/>
        </w:tabs>
        <w:rPr>
          <w:rFonts w:ascii="宋体" w:hAnsi="宋体"/>
          <w:color w:val="auto"/>
          <w:sz w:val="24"/>
          <w:highlight w:val="none"/>
          <w:lang w:val="zh-CN"/>
        </w:rPr>
      </w:pPr>
      <w:r>
        <w:rPr>
          <w:rFonts w:hint="eastAsia" w:ascii="宋体" w:hAnsi="宋体"/>
          <w:color w:val="auto"/>
          <w:sz w:val="24"/>
          <w:highlight w:val="none"/>
        </w:rPr>
        <w:t xml:space="preserve">1.4.7</w:t>
      </w:r>
      <w:r>
        <w:rPr>
          <w:rFonts w:hint="eastAsia" w:ascii="宋体" w:hAnsi="宋体"/>
          <w:color w:val="auto"/>
          <w:sz w:val="24"/>
          <w:highlight w:val="none"/>
          <w:lang w:val="zh-CN"/>
        </w:rPr>
        <w:t xml:space="preserve">成交后无正当理由拒不与采购人签订政府采购合同或者未按照磋商文件确定的事项签订政府采购合同的。</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1.4.8</w:t>
      </w:r>
      <w:r>
        <w:rPr>
          <w:rFonts w:hint="eastAsia" w:ascii="宋体" w:hAnsi="宋体"/>
          <w:color w:val="auto"/>
          <w:sz w:val="24"/>
          <w:highlight w:val="none"/>
          <w:lang w:val="zh-CN"/>
        </w:rPr>
        <w:t xml:space="preserve">将政府采购合同转包的。</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1.5.有下列情形之一的，视为供应商串通参与磋商，响应无效：</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1.5.1不同供应商的响应文件由同一单位或者个人编制；</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1.5.2不同供应商委托同一单位或者个人办理磋商事宜；</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1.5.3不同供应商的响应文件载明的项目管理成员或者联系人员为同一人；</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1.5.4不同供应商的响应文件异常一致或者响应报价呈规律性差异。</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2.质疑处理</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2.1质疑的供应商应当是参与所质疑项目采购活动的供应商。潜在供应商依法获取其可质疑的磋商文件的，可以对磋商文件质疑。</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2.2供应商认为磋商文件、采购过程和采购结果使自己的权益受到损害的，可以在知道或应知其权益受到损害之日起七个工作日内，以书面形式向采购人或采购代理机构质疑。上述应知其权益受到损害之日，是指：</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2.2.1对可以质疑的磋商文件提出质疑的，为收到磋商文件之日或者磋商文件公告期限届满之日；</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2.2.2对采购过程质疑的，为各采购程序环节结束之日；</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2.2.3对成交结果质疑的，为成交结果公告期限届满之日。</w:t>
      </w:r>
      <w:r/>
    </w:p>
    <w:p>
      <w:pPr>
        <w:ind w:firstLine="480"/>
        <w:spacing w:after="0" w:line="360" w:lineRule="auto"/>
        <w:tabs>
          <w:tab w:val="left" w:pos="900" w:leader="none"/>
        </w:tabs>
        <w:rPr>
          <w:rFonts w:ascii="宋体" w:hAnsi="宋体"/>
          <w:color w:val="auto"/>
          <w:sz w:val="24"/>
          <w:highlight w:val="none"/>
          <w:lang w:val="zh-CN"/>
        </w:rPr>
      </w:pPr>
      <w:r>
        <w:rPr>
          <w:rFonts w:hint="eastAsia" w:ascii="宋体" w:hAnsi="宋体"/>
          <w:color w:val="auto"/>
          <w:sz w:val="24"/>
          <w:highlight w:val="none"/>
        </w:rPr>
        <w:t xml:space="preserve">供应商应当在法定质疑期内一次性提出针对同一采购程序环节的质疑。</w:t>
      </w:r>
      <w:r>
        <w:rPr>
          <w:rFonts w:hint="eastAsia" w:ascii="宋体" w:hAnsi="宋体"/>
          <w:color w:val="auto"/>
          <w:sz w:val="24"/>
          <w:highlight w:val="none"/>
          <w:lang w:val="zh-CN"/>
        </w:rPr>
        <w:t xml:space="preserve">供应商如在法定期限内对同一采购程序环节提出多次质疑的，采购人、</w:t>
      </w:r>
      <w:r>
        <w:rPr>
          <w:rFonts w:hint="eastAsia" w:ascii="宋体" w:hAnsi="宋体"/>
          <w:color w:val="auto"/>
          <w:sz w:val="24"/>
          <w:highlight w:val="none"/>
        </w:rPr>
        <w:t xml:space="preserve">采购代理机构</w:t>
      </w:r>
      <w:r>
        <w:rPr>
          <w:rFonts w:hint="eastAsia" w:ascii="宋体" w:hAnsi="宋体"/>
          <w:color w:val="auto"/>
          <w:sz w:val="24"/>
          <w:highlight w:val="none"/>
          <w:lang w:val="zh-CN"/>
        </w:rPr>
        <w:t xml:space="preserve">将只对供应商的第一次质疑作出答复。</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2.3质疑函必须按照本磋商文件中《质疑函范本》要求的格式和内容进行填写。供应商如组成联合体参加磋商，在《质疑函范本》中要求签字、盖章、加盖公章之处，联合体各方均须按要求签字、盖章、加盖公章。</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2.4质疑答复依据《政府采购质疑和投诉办法》（财政部令第94号）。</w:t>
      </w:r>
      <w:r>
        <w:rPr>
          <w:rFonts w:hint="eastAsia" w:ascii="宋体" w:hAnsi="宋体" w:cs="宋体"/>
          <w:color w:val="auto"/>
          <w:sz w:val="24"/>
          <w:highlight w:val="none"/>
        </w:rPr>
        <w:t xml:space="preserve">采购人只接收以纸质原件形式送达的质疑，</w:t>
      </w:r>
      <w:r>
        <w:rPr>
          <w:rFonts w:hint="eastAsia" w:ascii="宋体" w:hAnsi="宋体"/>
          <w:color w:val="auto"/>
          <w:sz w:val="24"/>
          <w:highlight w:val="none"/>
        </w:rPr>
        <w:t xml:space="preserve">采购人或采购代理机构质疑接收人及联系方式，见磋商文件第一章。</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2.5 以下情形的质疑不予受理</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2.5.1内容不符合《政府采购质疑和投诉办法》第十二条规定的质疑。</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2.5.2超出政府采购法定期限的质疑。</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2.5.3</w:t>
      </w:r>
      <w:r>
        <w:rPr>
          <w:rFonts w:hint="eastAsia" w:ascii="宋体" w:hAnsi="宋体" w:cs="宋体"/>
          <w:color w:val="auto"/>
          <w:sz w:val="24"/>
          <w:highlight w:val="none"/>
        </w:rPr>
        <w:t xml:space="preserve">以传真、电子邮件等方式递交的非原件形式的质疑。</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2.5.4未参加磋商活动的供应商或在磋商活动中自身权益未受到损害的供应商所提出的质疑。</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2.5.5供应商组成联合体参加磋商，联合体中任何一方或多方未按要求签字、盖章、加盖公章的质疑。</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七、成交通知书</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成交结果确定后，采购人或者采购代理机构将向成交供应商发出成交通知书。请成交供应商在成交结果公告期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八、授予合同</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1.签订合同</w:t>
      </w:r>
      <w:r/>
    </w:p>
    <w:p>
      <w:pPr>
        <w:ind w:firstLine="478"/>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1.1成交供应商应当在成交通知书发出之日起三十日内，按照磋商文件确定的事项与采购人签订政府采购合同，否则由此给采购人造成损失的，成交供应商还应承担赔偿责任。</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签订合同时需做好提交各类声明函、承诺函、业绩证明、资质、证书等相应原件的核查准备；核查后发现虚假或违背承诺的，依照相关法律法规规定处理。</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1.2磋商文件、成交供应商的响应文件及磋商过程中有关澄清、承诺文件均应作为合同附件。</w:t>
      </w:r>
      <w:r/>
    </w:p>
    <w:p>
      <w:pPr>
        <w:ind w:firstLine="480"/>
        <w:spacing w:after="0" w:line="360" w:lineRule="auto"/>
        <w:tabs>
          <w:tab w:val="left" w:pos="900" w:leader="none"/>
        </w:tabs>
        <w:rPr>
          <w:rFonts w:ascii="宋体" w:hAnsi="宋体"/>
          <w:color w:val="auto"/>
          <w:sz w:val="24"/>
          <w:highlight w:val="none"/>
          <w:lang w:val="zh-CN"/>
        </w:rPr>
      </w:pPr>
      <w:r>
        <w:rPr>
          <w:rFonts w:hint="eastAsia" w:ascii="宋体" w:hAnsi="宋体"/>
          <w:color w:val="auto"/>
          <w:sz w:val="24"/>
          <w:highlight w:val="none"/>
        </w:rPr>
        <w:t xml:space="preserve">1.3签订合同后，成交供应商不得将合同标的进行转包。未经采购人同意，</w:t>
      </w:r>
      <w:r>
        <w:rPr>
          <w:rFonts w:hint="eastAsia" w:ascii="宋体" w:hAnsi="宋体"/>
          <w:color w:val="auto"/>
          <w:sz w:val="24"/>
          <w:highlight w:val="none"/>
          <w:lang w:val="zh-CN"/>
        </w:rPr>
        <w:t xml:space="preserve">成交供应商也不得采用分包形式履行合同，否则采购人有权终止合同。转包或分包造成采购人损失的，成交供应商应承担相应赔偿责任。</w:t>
      </w:r>
      <w:r/>
    </w:p>
    <w:p>
      <w:pPr>
        <w:ind w:firstLine="480"/>
        <w:spacing w:after="0" w:line="360" w:lineRule="auto"/>
        <w:tabs>
          <w:tab w:val="left" w:pos="900" w:leader="none"/>
        </w:tabs>
        <w:rPr>
          <w:rFonts w:ascii="宋体" w:hAnsi="宋体"/>
          <w:color w:val="auto"/>
          <w:sz w:val="24"/>
          <w:highlight w:val="none"/>
          <w:lang w:val="zh-CN"/>
        </w:rPr>
      </w:pPr>
      <w:r>
        <w:rPr>
          <w:rFonts w:hint="eastAsia" w:ascii="宋体" w:hAnsi="宋体"/>
          <w:color w:val="auto"/>
          <w:sz w:val="24"/>
          <w:highlight w:val="none"/>
          <w:lang w:val="zh-CN"/>
        </w:rPr>
        <w:t xml:space="preserve">2.合同追加</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2.1采购人根据项目需要追加与合同标的相同的货物、工程或者服务的，须经采购人和成交供应商书面确认，在不改变合同其他条款的前提下，所有补充合同的采购金额不得超过原合同采购金额的10%，追加的货物或服务须另行签订补充合同。</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2.2</w:t>
      </w:r>
      <w:r>
        <w:rPr>
          <w:rFonts w:ascii="宋体" w:hAnsi="宋体"/>
          <w:color w:val="auto"/>
          <w:sz w:val="24"/>
          <w:highlight w:val="none"/>
        </w:rPr>
        <w:t xml:space="preserve">因重大决策变化，导致采购任务取消的。除退还</w:t>
      </w:r>
      <w:r>
        <w:rPr>
          <w:rFonts w:hint="eastAsia" w:ascii="宋体" w:hAnsi="宋体"/>
          <w:color w:val="auto"/>
          <w:sz w:val="24"/>
          <w:highlight w:val="none"/>
        </w:rPr>
        <w:t xml:space="preserve">成交供应商</w:t>
      </w:r>
      <w:r>
        <w:rPr>
          <w:rFonts w:ascii="宋体" w:hAnsi="宋体"/>
          <w:color w:val="auto"/>
          <w:sz w:val="24"/>
          <w:highlight w:val="none"/>
        </w:rPr>
        <w:t xml:space="preserve">实际已支付费用外，</w:t>
      </w:r>
      <w:r>
        <w:rPr>
          <w:rFonts w:hint="eastAsia" w:ascii="宋体" w:hAnsi="宋体"/>
          <w:color w:val="auto"/>
          <w:sz w:val="24"/>
          <w:highlight w:val="none"/>
        </w:rPr>
        <w:t xml:space="preserve">采购人</w:t>
      </w:r>
      <w:r>
        <w:rPr>
          <w:rFonts w:ascii="宋体" w:hAnsi="宋体"/>
          <w:color w:val="auto"/>
          <w:sz w:val="24"/>
          <w:highlight w:val="none"/>
        </w:rPr>
        <w:t xml:space="preserve">不承担其他任何费用及损失。若因</w:t>
      </w:r>
      <w:r>
        <w:rPr>
          <w:rFonts w:hint="eastAsia" w:ascii="宋体" w:hAnsi="宋体"/>
          <w:color w:val="auto"/>
          <w:sz w:val="24"/>
          <w:highlight w:val="none"/>
        </w:rPr>
        <w:t xml:space="preserve">成交供应商</w:t>
      </w:r>
      <w:r>
        <w:rPr>
          <w:rFonts w:ascii="宋体" w:hAnsi="宋体"/>
          <w:color w:val="auto"/>
          <w:sz w:val="24"/>
          <w:highlight w:val="none"/>
        </w:rPr>
        <w:t xml:space="preserve">原因导致项目无法完成，因此产生的损失将由</w:t>
      </w:r>
      <w:r>
        <w:rPr>
          <w:rFonts w:hint="eastAsia" w:ascii="宋体" w:hAnsi="宋体"/>
          <w:color w:val="auto"/>
          <w:sz w:val="24"/>
          <w:highlight w:val="none"/>
        </w:rPr>
        <w:t xml:space="preserve">成交供应商承担</w:t>
      </w:r>
      <w:r>
        <w:rPr>
          <w:rFonts w:ascii="宋体" w:hAnsi="宋体"/>
          <w:color w:val="auto"/>
          <w:sz w:val="24"/>
          <w:highlight w:val="none"/>
        </w:rPr>
        <w:t xml:space="preserve">。</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九、电子招标投标交易平台</w:t>
      </w:r>
      <w:r/>
    </w:p>
    <w:p>
      <w:pPr>
        <w:ind w:firstLine="482"/>
        <w:spacing w:after="0" w:line="360" w:lineRule="auto"/>
        <w:tabs>
          <w:tab w:val="left" w:pos="900" w:leader="none"/>
        </w:tabs>
        <w:rPr>
          <w:rFonts w:ascii="宋体" w:hAnsi="宋体"/>
          <w:color w:val="auto"/>
          <w:sz w:val="24"/>
          <w:highlight w:val="none"/>
          <w:lang w:eastAsia="en-US"/>
        </w:rPr>
      </w:pPr>
      <w:r>
        <w:rPr>
          <w:rFonts w:hint="eastAsia" w:ascii="宋体" w:hAnsi="宋体"/>
          <w:color w:val="auto"/>
          <w:sz w:val="24"/>
          <w:highlight w:val="none"/>
        </w:rPr>
        <w:t xml:space="preserve">1.</w:t>
      </w:r>
      <w:r>
        <w:rPr>
          <w:rFonts w:hint="eastAsia" w:ascii="宋体" w:hAnsi="宋体"/>
          <w:color w:val="auto"/>
          <w:sz w:val="24"/>
          <w:highlight w:val="none"/>
          <w:lang w:eastAsia="en-US"/>
        </w:rPr>
        <w:t xml:space="preserve">电子招标投标交易平台（即“苏采云”系统，网址：</w:t>
      </w:r>
      <w:r>
        <w:rPr>
          <w:color w:val="auto"/>
          <w:highlight w:val="none"/>
        </w:rPr>
        <w:fldChar w:fldCharType="begin"/>
      </w:r>
      <w:r>
        <w:rPr>
          <w:color w:val="auto"/>
          <w:highlight w:val="none"/>
        </w:rPr>
        <w:instrText xml:space="preserve"> HYPERLINK "http://jszfcg.jsczt.cn/）相关要求是本采购文件的组成部分。" \o "http://jszfcg.jsczt.cn/）相关要求是本采购文件的组成部分。" </w:instrText>
      </w:r>
      <w:r>
        <w:rPr>
          <w:color w:val="auto"/>
          <w:highlight w:val="none"/>
        </w:rPr>
        <w:fldChar w:fldCharType="separate"/>
      </w:r>
      <w:r>
        <w:rPr>
          <w:rFonts w:hint="eastAsia" w:ascii="宋体" w:hAnsi="宋体"/>
          <w:color w:val="auto"/>
          <w:sz w:val="24"/>
          <w:highlight w:val="none"/>
          <w:lang w:eastAsia="en-US"/>
        </w:rPr>
        <w:t xml:space="preserve">http://jszfcg.jsczt.cn/）相关要求是本采购文件的组成部分。</w:t>
      </w:r>
      <w:r>
        <w:rPr>
          <w:rFonts w:hint="eastAsia" w:ascii="宋体" w:hAnsi="宋体"/>
          <w:color w:val="auto"/>
          <w:sz w:val="24"/>
          <w:highlight w:val="none"/>
          <w:lang w:eastAsia="en-US"/>
        </w:rPr>
        <w:fldChar w:fldCharType="end"/>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十、履约保证金</w:t>
      </w:r>
      <w:r/>
    </w:p>
    <w:p>
      <w:pPr>
        <w:ind w:firstLine="478"/>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1.本项目履约保证金额度为政府采购合同金额的百分之十。</w:t>
      </w:r>
      <w:r/>
    </w:p>
    <w:p>
      <w:pPr>
        <w:ind w:firstLine="478"/>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1.1成交供应商在收到成交通知书后，签订合同前向采购人缴纳履约保证金。履约保证金缴纳形式为转账、汇票、支票、本票、电汇、保证保险、保函等非现金形式。履约保证金用以约束供应商在合同履行中的行为，弥补合同执行中由于自身行为可能给采购人带来的各种损失。</w:t>
      </w:r>
      <w:r/>
    </w:p>
    <w:p>
      <w:pPr>
        <w:ind w:firstLine="478"/>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1.2履约保证金的退回时间为合同期结束且经双方验收合格后无息退还。</w:t>
      </w:r>
      <w:r/>
    </w:p>
    <w:p>
      <w:pPr>
        <w:ind w:firstLine="478"/>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1.3如果成交供应商没有按规定履行，采购人有充分理由取消其中标资格。除此之外，采购人还保留进一步追究该投标供应商法律责任的权利。行政监督部门也将对该投标供应商的上述行为依法作出行政处理。成交供应商放弃中标、因不可抗力提出不能履行合同，或者采购文件规定应当提交履约保证金而在规定时限内未能提交的，采购人可以确定排序紧跟该成交供应商的投标供应商为成交供应商，以此类推。或者重新组织招标。</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十一、政府采购政策：</w:t>
      </w:r>
      <w:r/>
    </w:p>
    <w:p>
      <w:pPr>
        <w:pStyle w:val="1166"/>
        <w:ind w:firstLine="431"/>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1.中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中型、小型、微型企业，则需根据《中小企业划型标准规定》（工信部联企业〔2011〕300号）提交《中小企业声明函》并加盖公章。</w:t>
      </w:r>
      <w:r/>
    </w:p>
    <w:p>
      <w:pPr>
        <w:pStyle w:val="1166"/>
        <w:ind w:firstLine="431"/>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2.残疾人福利性单位：根据《三部门联合发布关于促进残疾人就业政府采购政策的通知》（财库〔2017〕141号）的相关规定执行。如供应商为残疾人福利性单位，则视同小型企业。残疾人福利性单位属于小型、微型企业的，不重复享受政策。如供应商认定本企业为残疾人福利性单位，应提交《残疾人福利性单位声明函》并加盖公章。</w:t>
      </w:r>
      <w:r/>
    </w:p>
    <w:p>
      <w:pPr>
        <w:pStyle w:val="1166"/>
        <w:ind w:firstLine="431"/>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监狱企业属于小型、微型企业的，不重复享受政策。</w:t>
      </w:r>
      <w:r/>
    </w:p>
    <w:p>
      <w:pPr>
        <w:pStyle w:val="1166"/>
        <w:ind w:firstLine="431"/>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中的政府强制采购产品，按文件规定执行。</w:t>
      </w:r>
      <w:r/>
    </w:p>
    <w:p>
      <w:pPr>
        <w:pStyle w:val="1166"/>
        <w:ind w:firstLine="431"/>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5.根据《商品包装政府采购需求标准（试行）》《快递包装政府采购需求标准（试行）》的通知（财办库〔2020〕123号要求，商品使用的塑料、纸质、木材等包装需达到环保要求。</w:t>
      </w:r>
      <w:r/>
    </w:p>
    <w:p>
      <w:pPr>
        <w:pStyle w:val="1166"/>
        <w:ind w:firstLine="431"/>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6.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pStyle w:val="1166"/>
        <w:ind w:firstLine="431"/>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7.成交供应商可凭政府采购合同办理融资贷款，详情详见江苏政府采购网“政采贷”专栏。</w:t>
      </w:r>
      <w:r/>
    </w:p>
    <w:p>
      <w:pPr>
        <w:pStyle w:val="1166"/>
        <w:ind w:firstLine="431"/>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8.若供应商提供的《中小企业声明函》《残疾人福利性单位声明函》及监狱企业认定证明等材料为虚假材料，按《中华人民共和国政府采购法》相关规定处理并报请政府采购监管部门给予行政处罚。</w:t>
      </w:r>
      <w:r/>
    </w:p>
    <w:p>
      <w:pPr>
        <w:pStyle w:val="1166"/>
        <w:ind w:firstLine="431"/>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9.专门面向中小微企业采购的项目，小微企业不再享受价格扣除优惠政策。</w:t>
      </w:r>
      <w:r/>
    </w:p>
    <w:p>
      <w:pPr>
        <w:pStyle w:val="1166"/>
        <w:ind w:firstLine="431"/>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10.未按要求提供相关材料的，不享受相关政策。</w:t>
      </w:r>
      <w:r/>
    </w:p>
    <w:p>
      <w:pPr>
        <w:pStyle w:val="1166"/>
        <w:ind w:firstLine="431"/>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11.</w:t>
      </w:r>
      <w:r>
        <w:rPr>
          <w:rFonts w:ascii="宋体" w:hAnsi="宋体"/>
          <w:color w:val="auto"/>
          <w:sz w:val="24"/>
          <w:szCs w:val="24"/>
          <w:highlight w:val="none"/>
        </w:rPr>
        <w:t xml:space="preserve">本项目所属行业为</w:t>
      </w:r>
      <w:r>
        <w:rPr>
          <w:rFonts w:hint="eastAsia" w:ascii="宋体" w:hAnsi="宋体"/>
          <w:b/>
          <w:bCs/>
          <w:color w:val="auto"/>
          <w:sz w:val="24"/>
          <w:szCs w:val="24"/>
          <w:highlight w:val="none"/>
          <w:u w:val="single"/>
        </w:rPr>
        <w:t xml:space="preserve">其他未列明行业</w:t>
      </w:r>
      <w:r>
        <w:rPr>
          <w:rFonts w:hint="eastAsia" w:ascii="宋体" w:hAnsi="宋体"/>
          <w:color w:val="auto"/>
          <w:sz w:val="24"/>
          <w:szCs w:val="24"/>
          <w:highlight w:val="none"/>
        </w:rPr>
        <w:t xml:space="preserve">。</w:t>
      </w:r>
      <w:r/>
    </w:p>
    <w:p>
      <w:pPr>
        <w:ind w:firstLine="480"/>
        <w:spacing w:after="0"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十二、</w:t>
      </w:r>
      <w:r>
        <w:rPr>
          <w:rFonts w:hint="eastAsia" w:ascii="宋体" w:hAnsi="宋体" w:cs="宋体"/>
          <w:color w:val="auto"/>
          <w:sz w:val="24"/>
          <w:highlight w:val="none"/>
        </w:rPr>
        <w:t xml:space="preserve">其他说明</w:t>
      </w:r>
      <w:r>
        <w:rPr>
          <w:rFonts w:hint="eastAsia" w:ascii="宋体" w:hAnsi="宋体"/>
          <w:color w:val="auto"/>
          <w:sz w:val="24"/>
          <w:highlight w:val="none"/>
        </w:rPr>
        <w:t xml:space="preserve">：</w:t>
      </w:r>
      <w:r/>
    </w:p>
    <w:p>
      <w:pPr>
        <w:contextualSpacing/>
        <w:ind w:firstLine="480"/>
        <w:spacing w:after="0"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1.响应文件格式中需签字或盖章处均可以用电子签名或电子章代替。</w:t>
      </w:r>
      <w:bookmarkEnd w:id="53"/>
      <w:bookmarkEnd w:id="54"/>
      <w:bookmarkEnd w:id="55"/>
      <w:r/>
    </w:p>
    <w:p>
      <w:pPr>
        <w:rPr>
          <w:rFonts w:ascii="宋体" w:hAnsi="宋体"/>
          <w:color w:val="auto"/>
          <w:sz w:val="24"/>
          <w:highlight w:val="none"/>
        </w:rPr>
      </w:pPr>
      <w:r>
        <w:rPr>
          <w:rFonts w:hint="eastAsia" w:ascii="宋体" w:hAnsi="宋体"/>
          <w:color w:val="auto"/>
          <w:sz w:val="24"/>
          <w:highlight w:val="none"/>
        </w:rPr>
        <w:br w:type="page" w:clear="all"/>
      </w:r>
      <w:r/>
    </w:p>
    <w:p>
      <w:pPr>
        <w:pStyle w:val="965"/>
        <w:numPr>
          <w:ilvl w:val="0"/>
          <w:numId w:val="1"/>
        </w:numPr>
        <w:spacing w:after="0" w:line="360" w:lineRule="auto"/>
        <w:rPr>
          <w:rFonts w:asciiTheme="minorEastAsia" w:hAnsiTheme="minorEastAsia" w:eastAsiaTheme="minorEastAsia"/>
          <w:bCs/>
          <w:color w:val="auto"/>
          <w:sz w:val="32"/>
          <w:szCs w:val="32"/>
          <w:highlight w:val="none"/>
        </w:rPr>
      </w:pPr>
      <w:r>
        <w:rPr>
          <w:rFonts w:hint="eastAsia"/>
          <w:color w:val="auto"/>
          <w:sz w:val="32"/>
          <w:szCs w:val="32"/>
          <w:highlight w:val="none"/>
        </w:rPr>
        <w:t xml:space="preserve">合同条款及格式</w:t>
      </w:r>
      <w:bookmarkEnd w:id="35"/>
      <w:r/>
      <w:r/>
    </w:p>
    <w:p>
      <w:pPr>
        <w:ind w:firstLine="482"/>
        <w:spacing w:after="0" w:line="480" w:lineRule="exact"/>
        <w:rPr>
          <w:rFonts w:asciiTheme="minorEastAsia" w:hAnsiTheme="minorEastAsia" w:eastAsiaTheme="minorEastAsia"/>
          <w:bCs/>
          <w:color w:val="auto"/>
          <w:sz w:val="24"/>
          <w:highlight w:val="none"/>
        </w:rPr>
      </w:pPr>
      <w:r/>
      <w:bookmarkStart w:id="99" w:name="_Toc16938590"/>
      <w:r/>
      <w:bookmarkStart w:id="100" w:name="_Toc3383091"/>
      <w:r/>
      <w:bookmarkStart w:id="101" w:name="_Toc481071969"/>
      <w:r/>
      <w:bookmarkStart w:id="102" w:name="_Toc20823346"/>
      <w:r/>
      <w:bookmarkStart w:id="103" w:name="_Toc475009299"/>
      <w:r/>
      <w:bookmarkStart w:id="104" w:name="_Hlt16619350"/>
      <w:r/>
      <w:bookmarkStart w:id="105" w:name="_Toc511305209"/>
      <w:r/>
      <w:bookmarkStart w:id="106" w:name="_Toc120614244"/>
      <w:r/>
      <w:bookmarkStart w:id="107" w:name="_Toc481072015"/>
      <w:r>
        <w:rPr>
          <w:rFonts w:hint="eastAsia" w:asciiTheme="minorEastAsia" w:hAnsiTheme="minorEastAsia" w:eastAsiaTheme="minorEastAsia"/>
          <w:bCs/>
          <w:color w:val="auto"/>
          <w:sz w:val="24"/>
          <w:highlight w:val="none"/>
        </w:rPr>
        <w:t xml:space="preserve">以下为采购人与成交供应商签订本项目合同的通用条款，成交供应商不得提出实质性的修改，关于专用条款将由采购人与成交供应商结合本项目具体情况协商后签订。</w:t>
      </w:r>
      <w:r/>
    </w:p>
    <w:p>
      <w:pPr>
        <w:jc w:val="center"/>
        <w:spacing w:after="0" w:line="360" w:lineRule="auto"/>
        <w:rPr>
          <w:rStyle w:val="1182"/>
          <w:color w:val="auto"/>
          <w:sz w:val="24"/>
          <w:szCs w:val="24"/>
          <w:highlight w:val="none"/>
        </w:rPr>
        <w:outlineLvl w:val="0"/>
      </w:pPr>
      <w:r>
        <w:rPr>
          <w:rFonts w:hint="eastAsia" w:ascii="宋体" w:hAnsi="宋体" w:cs="宋体"/>
          <w:b/>
          <w:color w:val="auto"/>
          <w:sz w:val="24"/>
          <w:highlight w:val="none"/>
        </w:rPr>
        <w:t xml:space="preserve">政府采购合同</w:t>
      </w:r>
      <w:r>
        <w:rPr>
          <w:rStyle w:val="1182"/>
          <w:rFonts w:hint="eastAsia" w:asciiTheme="minorEastAsia" w:hAnsiTheme="minorEastAsia" w:eastAsiaTheme="minorEastAsia"/>
          <w:color w:val="auto"/>
          <w:sz w:val="24"/>
          <w:szCs w:val="24"/>
          <w:highlight w:val="none"/>
        </w:rPr>
        <w:t xml:space="preserve">（参考）</w:t>
      </w:r>
      <w:r/>
    </w:p>
    <w:p>
      <w:pPr>
        <w:ind w:firstLine="480"/>
        <w:spacing w:after="0" w:line="48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项目名称：                                  </w:t>
      </w:r>
      <w:r/>
    </w:p>
    <w:p>
      <w:pPr>
        <w:ind w:firstLine="480"/>
        <w:spacing w:after="0" w:line="48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项目编号：</w:t>
      </w:r>
      <w:r/>
    </w:p>
    <w:p>
      <w:pPr>
        <w:ind w:firstLine="480"/>
        <w:spacing w:after="0" w:line="480" w:lineRule="exact"/>
        <w:widowControl/>
        <w:rPr>
          <w:rFonts w:cs="宋体" w:asciiTheme="minorEastAsia" w:hAnsiTheme="minorEastAsia"/>
          <w:b/>
          <w:color w:val="auto"/>
          <w:sz w:val="24"/>
          <w:highlight w:val="none"/>
          <w:u w:val="single"/>
        </w:rPr>
      </w:pPr>
      <w:r>
        <w:rPr>
          <w:rFonts w:hint="eastAsia" w:cs="宋体" w:asciiTheme="minorEastAsia" w:hAnsiTheme="minorEastAsia" w:eastAsiaTheme="minorEastAsia"/>
          <w:color w:val="auto"/>
          <w:sz w:val="24"/>
          <w:highlight w:val="none"/>
        </w:rPr>
        <w:t xml:space="preserve">甲方</w:t>
      </w:r>
      <w:bookmarkStart w:id="108" w:name="purchase_end"/>
      <w:r/>
      <w:bookmarkEnd w:id="108"/>
      <w:r/>
      <w:bookmarkStart w:id="109" w:name="purchase_name"/>
      <w:r/>
      <w:bookmarkEnd w:id="109"/>
      <w:r/>
      <w:bookmarkStart w:id="110" w:name="purchase_start"/>
      <w:r/>
      <w:bookmarkEnd w:id="110"/>
      <w:r>
        <w:rPr>
          <w:rFonts w:hint="eastAsia" w:cs="宋体" w:asciiTheme="minorEastAsia" w:hAnsiTheme="minorEastAsia"/>
          <w:color w:val="auto"/>
          <w:sz w:val="24"/>
          <w:highlight w:val="none"/>
        </w:rPr>
        <w:t xml:space="preserve">：</w:t>
      </w:r>
      <w:r/>
    </w:p>
    <w:p>
      <w:pPr>
        <w:ind w:firstLine="480"/>
        <w:spacing w:after="0" w:line="480" w:lineRule="exact"/>
        <w:widowControl/>
        <w:rPr>
          <w:rFonts w:cs="宋体" w:asciiTheme="minorEastAsia" w:hAnsiTheme="minorEastAsia"/>
          <w:color w:val="auto"/>
          <w:sz w:val="24"/>
          <w:highlight w:val="none"/>
          <w:u w:val="single"/>
        </w:rPr>
      </w:pPr>
      <w:r>
        <w:rPr>
          <w:rFonts w:hint="eastAsia" w:cs="宋体" w:asciiTheme="minorEastAsia" w:hAnsiTheme="minorEastAsia" w:eastAsiaTheme="minorEastAsia"/>
          <w:color w:val="auto"/>
          <w:sz w:val="24"/>
          <w:highlight w:val="none"/>
        </w:rPr>
        <w:t xml:space="preserve">乙方</w:t>
      </w:r>
      <w:bookmarkStart w:id="111" w:name="suppliers_name"/>
      <w:r/>
      <w:bookmarkEnd w:id="111"/>
      <w:r>
        <w:rPr>
          <w:rFonts w:hint="eastAsia" w:cs="宋体" w:asciiTheme="minorEastAsia" w:hAnsiTheme="minorEastAsia"/>
          <w:color w:val="auto"/>
          <w:sz w:val="24"/>
          <w:highlight w:val="none"/>
        </w:rPr>
        <w:t xml:space="preserve">：</w:t>
      </w:r>
      <w:r/>
    </w:p>
    <w:p>
      <w:pPr>
        <w:ind w:firstLine="480"/>
        <w:spacing w:after="0" w:line="480" w:lineRule="exact"/>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甲乙双方根据</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 xml:space="preserve">项目竞争性磋商采购结果</w:t>
      </w:r>
      <w:r>
        <w:rPr>
          <w:rFonts w:hint="eastAsia" w:cs="宋体" w:asciiTheme="minorEastAsia" w:hAnsi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经协商一致</w:t>
      </w:r>
      <w:r>
        <w:rPr>
          <w:rFonts w:hint="eastAsia" w:cs="宋体" w:asciiTheme="minorEastAsia" w:hAnsi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达成如下采购服务合同：</w:t>
      </w:r>
      <w:r/>
    </w:p>
    <w:p>
      <w:pPr>
        <w:pStyle w:val="986"/>
        <w:ind w:firstLine="482"/>
        <w:spacing w:after="0" w:line="480" w:lineRule="exact"/>
        <w:rPr>
          <w:rFonts w:hAnsi="宋体" w:cs="宋体"/>
          <w:b/>
          <w:bCs/>
          <w:color w:val="auto"/>
          <w:sz w:val="24"/>
          <w:highlight w:val="none"/>
        </w:rPr>
      </w:pPr>
      <w:r>
        <w:rPr>
          <w:rFonts w:hint="eastAsia" w:hAnsi="宋体" w:cs="宋体"/>
          <w:b/>
          <w:bCs/>
          <w:color w:val="auto"/>
          <w:sz w:val="24"/>
          <w:szCs w:val="24"/>
          <w:highlight w:val="none"/>
        </w:rPr>
        <w:t xml:space="preserve">1.合同标的</w:t>
      </w:r>
      <w:r/>
    </w:p>
    <w:p>
      <w:pPr>
        <w:ind w:firstLine="480"/>
        <w:spacing w:after="0"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1.1服务名称： </w:t>
      </w:r>
      <w:r/>
    </w:p>
    <w:p>
      <w:pPr>
        <w:ind w:firstLine="480"/>
        <w:spacing w:after="0"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1.2服务内容： </w:t>
      </w:r>
      <w:r/>
    </w:p>
    <w:p>
      <w:pPr>
        <w:ind w:firstLine="480"/>
        <w:spacing w:after="0"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1.3服务期限：</w:t>
      </w:r>
      <w:r/>
    </w:p>
    <w:p>
      <w:pPr>
        <w:ind w:firstLine="480"/>
        <w:spacing w:after="0"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1.4服务地点：</w:t>
      </w:r>
      <w:r/>
    </w:p>
    <w:p>
      <w:pPr>
        <w:ind w:firstLine="480"/>
        <w:spacing w:after="0"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1.5补充条款：</w:t>
      </w:r>
      <w:r/>
    </w:p>
    <w:p>
      <w:pPr>
        <w:pStyle w:val="986"/>
        <w:ind w:firstLine="482"/>
        <w:spacing w:after="0" w:line="480" w:lineRule="exact"/>
        <w:rPr>
          <w:rFonts w:hAnsi="宋体" w:cs="宋体"/>
          <w:b/>
          <w:bCs/>
          <w:color w:val="auto"/>
          <w:sz w:val="24"/>
          <w:highlight w:val="none"/>
        </w:rPr>
      </w:pPr>
      <w:r>
        <w:rPr>
          <w:rFonts w:hint="eastAsia" w:hAnsi="宋体" w:cs="宋体"/>
          <w:b/>
          <w:bCs/>
          <w:color w:val="auto"/>
          <w:sz w:val="24"/>
          <w:szCs w:val="24"/>
          <w:highlight w:val="none"/>
        </w:rPr>
        <w:t xml:space="preserve">2.合同总金额</w:t>
      </w:r>
      <w:r/>
    </w:p>
    <w:p>
      <w:pPr>
        <w:pStyle w:val="986"/>
        <w:ind w:left="315" w:firstLine="120"/>
        <w:spacing w:after="0" w:line="480" w:lineRule="exact"/>
        <w:rPr>
          <w:rFonts w:hAnsi="宋体" w:cs="宋体"/>
          <w:color w:val="auto"/>
          <w:sz w:val="24"/>
          <w:highlight w:val="none"/>
        </w:rPr>
      </w:pPr>
      <w:r>
        <w:rPr>
          <w:rFonts w:hint="eastAsia" w:hAnsi="宋体" w:cs="宋体"/>
          <w:color w:val="auto"/>
          <w:sz w:val="24"/>
          <w:szCs w:val="24"/>
          <w:highlight w:val="none"/>
        </w:rPr>
        <w:t xml:space="preserve">2.1本合同金额为（大写）：________________元人民币（¥</w:t>
      </w:r>
      <w:r>
        <w:rPr>
          <w:rFonts w:hint="eastAsia" w:hAnsi="宋体" w:cs="宋体"/>
          <w:color w:val="auto"/>
          <w:sz w:val="24"/>
          <w:szCs w:val="24"/>
          <w:highlight w:val="none"/>
          <w:u w:val="single"/>
        </w:rPr>
        <w:t xml:space="preserve">____ _</w:t>
      </w:r>
      <w:r>
        <w:rPr>
          <w:rFonts w:hint="eastAsia" w:hAnsi="宋体" w:cs="宋体"/>
          <w:color w:val="auto"/>
          <w:sz w:val="24"/>
          <w:szCs w:val="24"/>
          <w:highlight w:val="none"/>
        </w:rPr>
        <w:t xml:space="preserve">元）。</w:t>
      </w:r>
      <w:r/>
    </w:p>
    <w:p>
      <w:pPr>
        <w:pStyle w:val="986"/>
        <w:ind w:firstLine="482"/>
        <w:spacing w:after="0" w:line="480" w:lineRule="exact"/>
        <w:rPr>
          <w:rFonts w:hAnsi="宋体" w:cs="宋体"/>
          <w:b/>
          <w:bCs/>
          <w:color w:val="auto"/>
          <w:sz w:val="24"/>
          <w:highlight w:val="none"/>
        </w:rPr>
      </w:pPr>
      <w:r/>
      <w:bookmarkStart w:id="112" w:name="OLE_LINK15"/>
      <w:r/>
      <w:bookmarkEnd w:id="112"/>
      <w:r>
        <w:rPr>
          <w:rFonts w:hint="eastAsia" w:hAnsi="宋体" w:cs="宋体"/>
          <w:b/>
          <w:bCs/>
          <w:color w:val="auto"/>
          <w:sz w:val="24"/>
          <w:szCs w:val="24"/>
          <w:highlight w:val="none"/>
        </w:rPr>
        <w:t xml:space="preserve">3.组成本合同的有关文件</w:t>
      </w:r>
      <w:r/>
    </w:p>
    <w:p>
      <w:pPr>
        <w:pStyle w:val="986"/>
        <w:ind w:left="315" w:firstLine="120"/>
        <w:spacing w:after="0" w:line="480" w:lineRule="exact"/>
        <w:rPr>
          <w:rFonts w:hAnsi="宋体" w:cs="宋体"/>
          <w:color w:val="auto"/>
          <w:sz w:val="24"/>
          <w:highlight w:val="none"/>
        </w:rPr>
      </w:pPr>
      <w:r>
        <w:rPr>
          <w:rFonts w:hint="eastAsia" w:hAnsi="宋体" w:cs="宋体"/>
          <w:color w:val="auto"/>
          <w:sz w:val="24"/>
          <w:szCs w:val="24"/>
          <w:highlight w:val="none"/>
        </w:rPr>
        <w:t xml:space="preserve">3.1乙方应按采购文件规定的时间向甲方提供服务的有关技术资料。</w:t>
      </w:r>
      <w:r/>
    </w:p>
    <w:p>
      <w:pPr>
        <w:pStyle w:val="986"/>
        <w:ind w:firstLine="480"/>
        <w:spacing w:after="0" w:line="480" w:lineRule="exact"/>
        <w:rPr>
          <w:rFonts w:hAnsi="宋体" w:cs="宋体"/>
          <w:color w:val="auto"/>
          <w:sz w:val="24"/>
          <w:highlight w:val="none"/>
        </w:rPr>
      </w:pPr>
      <w:r>
        <w:rPr>
          <w:rFonts w:hint="eastAsia" w:hAnsi="宋体" w:cs="宋体"/>
          <w:color w:val="auto"/>
          <w:sz w:val="24"/>
          <w:szCs w:val="24"/>
          <w:highlight w:val="none"/>
        </w:rPr>
        <w:t xml:space="preserve">3.2没有甲方事先书面同意，乙方不得将由甲方提供的有关合同或任何合同条文或资料提供给任何其他人。即使向与履行本合同有关的人员提供，也应注意保密并限于履行合同的必需范围。</w:t>
      </w:r>
      <w:r/>
    </w:p>
    <w:p>
      <w:pPr>
        <w:pStyle w:val="986"/>
        <w:ind w:firstLine="480"/>
        <w:spacing w:after="0" w:line="480" w:lineRule="exact"/>
        <w:rPr>
          <w:rFonts w:hAnsi="宋体" w:cs="宋体"/>
          <w:color w:val="auto"/>
          <w:sz w:val="24"/>
          <w:highlight w:val="none"/>
        </w:rPr>
      </w:pPr>
      <w:r>
        <w:rPr>
          <w:rFonts w:hint="eastAsia" w:hAnsi="宋体" w:cs="宋体"/>
          <w:color w:val="auto"/>
          <w:sz w:val="24"/>
          <w:szCs w:val="24"/>
          <w:highlight w:val="none"/>
        </w:rPr>
        <w:t xml:space="preserve">3.3 关于本项目政府采购的招投标文件或与本次采购活动方式相适应的文件及有关附件是本合同不可分割的组成部分，这些文件包括但不限于：</w:t>
      </w:r>
      <w:r/>
    </w:p>
    <w:p>
      <w:pPr>
        <w:pStyle w:val="986"/>
        <w:ind w:firstLine="480"/>
        <w:spacing w:after="0" w:line="480" w:lineRule="exact"/>
        <w:rPr>
          <w:rFonts w:hAnsi="宋体" w:cs="宋体"/>
          <w:color w:val="auto"/>
          <w:sz w:val="24"/>
          <w:highlight w:val="none"/>
        </w:rPr>
      </w:pPr>
      <w:r>
        <w:rPr>
          <w:rFonts w:hint="eastAsia" w:hAnsi="宋体" w:cs="宋体"/>
          <w:color w:val="auto"/>
          <w:sz w:val="24"/>
          <w:szCs w:val="24"/>
          <w:highlight w:val="none"/>
        </w:rPr>
        <w:t xml:space="preserve">（1）投标响应文件；               </w:t>
      </w:r>
      <w:r/>
    </w:p>
    <w:p>
      <w:pPr>
        <w:pStyle w:val="986"/>
        <w:ind w:firstLine="480"/>
        <w:spacing w:after="0" w:line="480" w:lineRule="exact"/>
        <w:rPr>
          <w:rFonts w:hAnsi="宋体" w:cs="宋体"/>
          <w:color w:val="auto"/>
          <w:sz w:val="24"/>
          <w:highlight w:val="none"/>
        </w:rPr>
      </w:pPr>
      <w:r>
        <w:rPr>
          <w:rFonts w:hint="eastAsia" w:hAnsi="宋体" w:cs="宋体"/>
          <w:color w:val="auto"/>
          <w:sz w:val="24"/>
          <w:szCs w:val="24"/>
          <w:highlight w:val="none"/>
        </w:rPr>
        <w:t xml:space="preserve">（2）投标报价文件；</w:t>
      </w:r>
      <w:r/>
    </w:p>
    <w:p>
      <w:pPr>
        <w:pStyle w:val="986"/>
        <w:ind w:firstLine="480"/>
        <w:spacing w:after="0" w:line="480" w:lineRule="exact"/>
        <w:rPr>
          <w:rFonts w:hAnsi="宋体" w:cs="宋体"/>
          <w:color w:val="auto"/>
          <w:sz w:val="24"/>
          <w:highlight w:val="none"/>
        </w:rPr>
      </w:pPr>
      <w:r>
        <w:rPr>
          <w:rFonts w:hint="eastAsia" w:hAnsi="宋体" w:cs="宋体"/>
          <w:color w:val="auto"/>
          <w:sz w:val="24"/>
          <w:szCs w:val="24"/>
          <w:highlight w:val="none"/>
        </w:rPr>
        <w:t xml:space="preserve">（3）项目组人员表；                </w:t>
      </w:r>
      <w:r/>
    </w:p>
    <w:p>
      <w:pPr>
        <w:pStyle w:val="986"/>
        <w:ind w:firstLine="480"/>
        <w:spacing w:after="0" w:line="480" w:lineRule="exact"/>
        <w:rPr>
          <w:rFonts w:hAnsi="宋体" w:cs="宋体"/>
          <w:color w:val="auto"/>
          <w:sz w:val="24"/>
          <w:highlight w:val="none"/>
        </w:rPr>
      </w:pPr>
      <w:r>
        <w:rPr>
          <w:rFonts w:hint="eastAsia" w:hAnsi="宋体" w:cs="宋体"/>
          <w:color w:val="auto"/>
          <w:sz w:val="24"/>
          <w:szCs w:val="24"/>
          <w:highlight w:val="none"/>
        </w:rPr>
        <w:t xml:space="preserve">（4）技术参数、商务条款响应及偏离表；</w:t>
      </w:r>
      <w:r/>
    </w:p>
    <w:p>
      <w:pPr>
        <w:pStyle w:val="986"/>
        <w:ind w:firstLine="480"/>
        <w:spacing w:after="0" w:line="480" w:lineRule="exact"/>
        <w:rPr>
          <w:rFonts w:hAnsi="宋体" w:cs="宋体"/>
          <w:color w:val="auto"/>
          <w:sz w:val="24"/>
          <w:highlight w:val="none"/>
        </w:rPr>
      </w:pPr>
      <w:r>
        <w:rPr>
          <w:rFonts w:hint="eastAsia" w:hAnsi="宋体" w:cs="宋体"/>
          <w:color w:val="auto"/>
          <w:sz w:val="24"/>
          <w:szCs w:val="24"/>
          <w:highlight w:val="none"/>
        </w:rPr>
        <w:t xml:space="preserve">（5）服务承诺；                   </w:t>
      </w:r>
      <w:r/>
    </w:p>
    <w:p>
      <w:pPr>
        <w:pStyle w:val="986"/>
        <w:ind w:firstLine="480"/>
        <w:spacing w:after="0" w:line="480" w:lineRule="exact"/>
        <w:rPr>
          <w:rFonts w:hAnsi="宋体" w:cs="宋体"/>
          <w:color w:val="auto"/>
          <w:sz w:val="24"/>
          <w:highlight w:val="none"/>
        </w:rPr>
      </w:pPr>
      <w:r>
        <w:rPr>
          <w:rFonts w:hint="eastAsia" w:hAnsi="宋体" w:cs="宋体"/>
          <w:color w:val="auto"/>
          <w:sz w:val="24"/>
          <w:szCs w:val="24"/>
          <w:highlight w:val="none"/>
        </w:rPr>
        <w:t xml:space="preserve">（6）</w:t>
      </w:r>
      <w:r>
        <w:rPr>
          <w:rFonts w:hint="eastAsia" w:hAnsi="宋体" w:cs="宋体"/>
          <w:color w:val="auto"/>
          <w:sz w:val="24"/>
          <w:highlight w:val="none"/>
        </w:rPr>
        <w:t xml:space="preserve">成交</w:t>
      </w:r>
      <w:r>
        <w:rPr>
          <w:rFonts w:hint="eastAsia" w:hAnsi="宋体" w:cs="宋体"/>
          <w:color w:val="auto"/>
          <w:sz w:val="24"/>
          <w:szCs w:val="24"/>
          <w:highlight w:val="none"/>
        </w:rPr>
        <w:t xml:space="preserve">通知书；</w:t>
      </w:r>
      <w:r/>
    </w:p>
    <w:p>
      <w:pPr>
        <w:pStyle w:val="986"/>
        <w:ind w:firstLine="480"/>
        <w:spacing w:after="0" w:line="480" w:lineRule="exact"/>
        <w:rPr>
          <w:rFonts w:hAnsi="宋体" w:cs="宋体"/>
          <w:color w:val="auto"/>
          <w:sz w:val="24"/>
          <w:highlight w:val="none"/>
        </w:rPr>
      </w:pPr>
      <w:r>
        <w:rPr>
          <w:rFonts w:hint="eastAsia" w:hAnsi="宋体" w:cs="宋体"/>
          <w:color w:val="auto"/>
          <w:sz w:val="24"/>
          <w:szCs w:val="24"/>
          <w:highlight w:val="none"/>
        </w:rPr>
        <w:t xml:space="preserve">（7）甲乙双方补充协议；           </w:t>
      </w:r>
      <w:r/>
    </w:p>
    <w:p>
      <w:pPr>
        <w:pStyle w:val="986"/>
        <w:ind w:firstLine="480"/>
        <w:spacing w:after="0" w:line="480" w:lineRule="exact"/>
        <w:rPr>
          <w:rFonts w:hAnsi="宋体" w:cs="宋体"/>
          <w:color w:val="auto"/>
          <w:sz w:val="24"/>
          <w:highlight w:val="none"/>
        </w:rPr>
      </w:pPr>
      <w:r>
        <w:rPr>
          <w:rFonts w:hint="eastAsia" w:hAnsi="宋体" w:cs="宋体"/>
          <w:color w:val="auto"/>
          <w:sz w:val="24"/>
          <w:szCs w:val="24"/>
          <w:highlight w:val="none"/>
        </w:rPr>
        <w:t xml:space="preserve">（8）乙方投标时提供的响应文件。</w:t>
      </w:r>
      <w:r/>
    </w:p>
    <w:p>
      <w:pPr>
        <w:pStyle w:val="986"/>
        <w:ind w:left="315" w:firstLine="120"/>
        <w:spacing w:after="0" w:line="480" w:lineRule="exact"/>
        <w:rPr>
          <w:rFonts w:hAnsi="宋体" w:cs="宋体"/>
          <w:b/>
          <w:bCs/>
          <w:color w:val="auto"/>
          <w:sz w:val="24"/>
          <w:highlight w:val="none"/>
        </w:rPr>
      </w:pPr>
      <w:r>
        <w:rPr>
          <w:rFonts w:hint="eastAsia" w:hAnsi="宋体" w:cs="宋体"/>
          <w:b/>
          <w:bCs/>
          <w:color w:val="auto"/>
          <w:sz w:val="24"/>
          <w:szCs w:val="24"/>
          <w:highlight w:val="none"/>
        </w:rPr>
        <w:t xml:space="preserve">4.知识产权保护</w:t>
      </w:r>
      <w:r/>
    </w:p>
    <w:p>
      <w:pPr>
        <w:ind w:firstLine="480"/>
        <w:spacing w:after="0" w:line="480" w:lineRule="exact"/>
        <w:rPr>
          <w:rFonts w:ascii="宋体" w:hAnsi="宋体" w:cs="宋体"/>
          <w:color w:val="auto"/>
          <w:sz w:val="24"/>
          <w:highlight w:val="none"/>
        </w:rPr>
      </w:pPr>
      <w:r>
        <w:rPr>
          <w:rFonts w:hint="eastAsia" w:ascii="宋体" w:hAnsi="宋体" w:cs="宋体"/>
          <w:color w:val="auto"/>
          <w:sz w:val="24"/>
          <w:highlight w:val="none"/>
        </w:rPr>
        <w:t xml:space="preserve">乙方保证甲方在使用、接受本合同服务或其任何一部分时，不受第三方提出侵犯其专利权、版权、商标权和工业设计权等知识产权的起诉。一旦出现侵权，由乙方负全部责任。</w:t>
      </w:r>
      <w:r/>
    </w:p>
    <w:p>
      <w:pPr>
        <w:pStyle w:val="986"/>
        <w:ind w:firstLine="482"/>
        <w:spacing w:after="0" w:line="480" w:lineRule="exact"/>
        <w:rPr>
          <w:rFonts w:hAnsi="宋体" w:cs="宋体"/>
          <w:b/>
          <w:bCs/>
          <w:color w:val="auto"/>
          <w:sz w:val="24"/>
          <w:highlight w:val="none"/>
        </w:rPr>
      </w:pPr>
      <w:r>
        <w:rPr>
          <w:rFonts w:hint="eastAsia" w:hAnsi="宋体" w:cs="宋体"/>
          <w:b/>
          <w:bCs/>
          <w:color w:val="auto"/>
          <w:sz w:val="24"/>
          <w:szCs w:val="24"/>
          <w:highlight w:val="none"/>
        </w:rPr>
        <w:t xml:space="preserve">5.产权保护</w:t>
      </w:r>
      <w:r/>
    </w:p>
    <w:p>
      <w:pPr>
        <w:ind w:firstLine="480"/>
        <w:spacing w:after="0" w:line="480" w:lineRule="exact"/>
        <w:rPr>
          <w:rFonts w:ascii="宋体" w:hAnsi="宋体" w:cs="宋体"/>
          <w:color w:val="auto"/>
          <w:sz w:val="24"/>
          <w:highlight w:val="none"/>
        </w:rPr>
      </w:pPr>
      <w:r>
        <w:rPr>
          <w:rFonts w:hint="eastAsia" w:ascii="宋体" w:hAnsi="宋体" w:cs="宋体"/>
          <w:color w:val="auto"/>
          <w:sz w:val="24"/>
          <w:highlight w:val="none"/>
        </w:rPr>
        <w:t xml:space="preserve">乙方保证所交付的服务和服务所涉及的物品所有权无任何抵押、查封等权利瑕疵。</w:t>
      </w:r>
      <w:r/>
    </w:p>
    <w:p>
      <w:pPr>
        <w:pStyle w:val="986"/>
        <w:ind w:left="315" w:firstLine="120"/>
        <w:spacing w:after="0" w:line="480" w:lineRule="exact"/>
        <w:rPr>
          <w:rFonts w:hAnsi="宋体" w:cs="宋体"/>
          <w:b/>
          <w:bCs/>
          <w:color w:val="auto"/>
          <w:sz w:val="24"/>
          <w:highlight w:val="none"/>
        </w:rPr>
      </w:pPr>
      <w:r>
        <w:rPr>
          <w:rFonts w:hint="eastAsia" w:hAnsi="宋体" w:cs="宋体"/>
          <w:b/>
          <w:bCs/>
          <w:color w:val="auto"/>
          <w:sz w:val="24"/>
          <w:szCs w:val="24"/>
          <w:highlight w:val="none"/>
        </w:rPr>
        <w:t xml:space="preserve">6.履约保证金</w:t>
      </w:r>
      <w:r/>
    </w:p>
    <w:p>
      <w:pPr>
        <w:ind w:firstLine="480"/>
        <w:spacing w:after="0" w:line="480" w:lineRule="exact"/>
        <w:rPr>
          <w:rFonts w:ascii="宋体" w:hAnsi="宋体" w:cs="宋体"/>
          <w:color w:val="auto"/>
          <w:sz w:val="24"/>
          <w:highlight w:val="none"/>
        </w:rPr>
      </w:pPr>
      <w:r>
        <w:rPr>
          <w:rFonts w:hint="eastAsia" w:ascii="宋体" w:hAnsi="宋体" w:cs="宋体"/>
          <w:color w:val="auto"/>
          <w:sz w:val="24"/>
          <w:highlight w:val="none"/>
        </w:rPr>
        <w:t xml:space="preserve">政府采购合同金额的百分之十；金额为</w:t>
      </w:r>
      <w:r>
        <w:rPr>
          <w:rFonts w:hint="eastAsia" w:hAnsi="宋体" w:cs="宋体"/>
          <w:color w:val="auto"/>
          <w:sz w:val="24"/>
          <w:highlight w:val="none"/>
          <w:u w:val="single"/>
        </w:rPr>
        <w:t xml:space="preserve">                    </w:t>
      </w:r>
      <w:r>
        <w:rPr>
          <w:rFonts w:hint="eastAsia" w:hAnsi="宋体" w:cs="宋体"/>
          <w:color w:val="auto"/>
          <w:sz w:val="24"/>
          <w:highlight w:val="none"/>
        </w:rPr>
        <w:t xml:space="preserve">。</w:t>
      </w:r>
      <w:r/>
    </w:p>
    <w:p>
      <w:pPr>
        <w:pStyle w:val="986"/>
        <w:ind w:left="315" w:firstLine="120"/>
        <w:spacing w:after="0" w:line="480" w:lineRule="exact"/>
        <w:rPr>
          <w:rFonts w:hAnsi="宋体" w:cs="宋体"/>
          <w:b/>
          <w:bCs/>
          <w:color w:val="auto"/>
          <w:sz w:val="24"/>
          <w:highlight w:val="none"/>
        </w:rPr>
      </w:pPr>
      <w:r>
        <w:rPr>
          <w:rFonts w:hint="eastAsia" w:hAnsi="宋体" w:cs="宋体"/>
          <w:b/>
          <w:bCs/>
          <w:color w:val="auto"/>
          <w:sz w:val="24"/>
          <w:szCs w:val="24"/>
          <w:highlight w:val="none"/>
        </w:rPr>
        <w:t xml:space="preserve">7.转包或分包</w:t>
      </w:r>
      <w:r/>
    </w:p>
    <w:p>
      <w:pPr>
        <w:pStyle w:val="986"/>
        <w:ind w:firstLine="480"/>
        <w:spacing w:after="0" w:line="480" w:lineRule="exact"/>
        <w:rPr>
          <w:rFonts w:hAnsi="宋体" w:cs="宋体"/>
          <w:color w:val="auto"/>
          <w:sz w:val="24"/>
          <w:highlight w:val="none"/>
        </w:rPr>
      </w:pPr>
      <w:r>
        <w:rPr>
          <w:rFonts w:hint="eastAsia" w:hAnsi="宋体" w:cs="宋体"/>
          <w:color w:val="auto"/>
          <w:sz w:val="24"/>
          <w:szCs w:val="24"/>
          <w:highlight w:val="none"/>
        </w:rPr>
        <w:t xml:space="preserve">7.1本合同禁止转包，本合同范围的服务，应由乙方直接提供的，不得转让他人提供。</w:t>
      </w:r>
      <w:r/>
    </w:p>
    <w:p>
      <w:pPr>
        <w:pStyle w:val="986"/>
        <w:ind w:firstLine="480"/>
        <w:spacing w:after="0" w:line="480" w:lineRule="exact"/>
        <w:rPr>
          <w:rFonts w:hAnsi="宋体" w:cs="宋体"/>
          <w:color w:val="auto"/>
          <w:sz w:val="24"/>
          <w:highlight w:val="none"/>
        </w:rPr>
      </w:pPr>
      <w:r>
        <w:rPr>
          <w:rFonts w:hint="eastAsia" w:hAnsi="宋体" w:cs="宋体"/>
          <w:color w:val="auto"/>
          <w:sz w:val="24"/>
          <w:szCs w:val="24"/>
          <w:highlight w:val="none"/>
        </w:rPr>
        <w:t xml:space="preserve">7.2经甲方同意，乙方可以依法采取分包方式履行合同，但是采取分包方式履行的，乙方应就采购项目向甲方负责。</w:t>
      </w:r>
      <w:r/>
    </w:p>
    <w:p>
      <w:pPr>
        <w:pStyle w:val="986"/>
        <w:ind w:left="315" w:firstLine="120"/>
        <w:spacing w:after="0" w:line="480" w:lineRule="exact"/>
        <w:rPr>
          <w:rFonts w:hAnsi="宋体" w:cs="宋体"/>
          <w:b/>
          <w:bCs/>
          <w:color w:val="auto"/>
          <w:sz w:val="24"/>
          <w:highlight w:val="none"/>
        </w:rPr>
      </w:pPr>
      <w:r>
        <w:rPr>
          <w:rFonts w:hint="eastAsia" w:hAnsi="宋体" w:cs="宋体"/>
          <w:b/>
          <w:bCs/>
          <w:color w:val="auto"/>
          <w:sz w:val="24"/>
          <w:szCs w:val="24"/>
          <w:highlight w:val="none"/>
        </w:rPr>
        <w:t xml:space="preserve">8.服务期</w:t>
      </w:r>
      <w:r/>
    </w:p>
    <w:p>
      <w:pPr>
        <w:pStyle w:val="986"/>
        <w:ind w:left="315" w:firstLine="120"/>
        <w:spacing w:after="0" w:line="480" w:lineRule="exact"/>
        <w:rPr>
          <w:rFonts w:hAnsi="宋体" w:cs="宋体"/>
          <w:color w:val="auto"/>
          <w:sz w:val="24"/>
          <w:highlight w:val="none"/>
        </w:rPr>
      </w:pPr>
      <w:r>
        <w:rPr>
          <w:rFonts w:hint="eastAsia" w:hAnsi="宋体" w:cs="宋体"/>
          <w:color w:val="auto"/>
          <w:sz w:val="24"/>
          <w:szCs w:val="24"/>
          <w:highlight w:val="none"/>
        </w:rPr>
        <w:t xml:space="preserve">8.1服务期</w:t>
      </w:r>
      <w:r>
        <w:rPr>
          <w:rFonts w:hint="eastAsia" w:hAnsi="宋体" w:cs="宋体"/>
          <w:color w:val="auto"/>
          <w:sz w:val="24"/>
          <w:highlight w:val="none"/>
        </w:rPr>
        <w:t xml:space="preserve">：</w:t>
      </w:r>
      <w:r>
        <w:rPr>
          <w:rFonts w:hint="eastAsia" w:hAnsi="宋体"/>
          <w:color w:val="auto"/>
          <w:sz w:val="24"/>
          <w:szCs w:val="24"/>
          <w:highlight w:val="none"/>
        </w:rPr>
        <w:t xml:space="preserve">自</w:t>
      </w:r>
      <w:r>
        <w:rPr>
          <w:rFonts w:hint="eastAsia" w:hAnsi="宋体"/>
          <w:color w:val="auto"/>
          <w:sz w:val="24"/>
          <w:highlight w:val="none"/>
          <w:u w:val="single"/>
        </w:rPr>
        <w:t xml:space="preserve">    </w:t>
      </w:r>
      <w:r>
        <w:rPr>
          <w:rFonts w:hAnsi="宋体"/>
          <w:color w:val="auto"/>
          <w:sz w:val="24"/>
          <w:szCs w:val="24"/>
          <w:highlight w:val="none"/>
        </w:rPr>
        <w:t xml:space="preserve">年</w:t>
      </w:r>
      <w:r>
        <w:rPr>
          <w:rFonts w:hint="eastAsia" w:hAnsi="宋体"/>
          <w:color w:val="auto"/>
          <w:sz w:val="24"/>
          <w:szCs w:val="24"/>
          <w:highlight w:val="none"/>
          <w:u w:val="single"/>
        </w:rPr>
        <w:t xml:space="preserve">  </w:t>
      </w:r>
      <w:r>
        <w:rPr>
          <w:rFonts w:hint="eastAsia" w:hAnsi="宋体"/>
          <w:color w:val="auto"/>
          <w:sz w:val="24"/>
          <w:highlight w:val="none"/>
          <w:u w:val="single"/>
        </w:rPr>
        <w:t xml:space="preserve"> </w:t>
      </w:r>
      <w:r>
        <w:rPr>
          <w:rFonts w:hint="eastAsia" w:hAnsi="宋体"/>
          <w:color w:val="auto"/>
          <w:sz w:val="24"/>
          <w:szCs w:val="24"/>
          <w:highlight w:val="none"/>
        </w:rPr>
        <w:t xml:space="preserve">月</w:t>
      </w:r>
      <w:r>
        <w:rPr>
          <w:rFonts w:hint="eastAsia" w:hAnsi="宋体"/>
          <w:color w:val="auto"/>
          <w:sz w:val="24"/>
          <w:highlight w:val="none"/>
          <w:u w:val="single"/>
        </w:rPr>
        <w:t xml:space="preserve">   </w:t>
      </w:r>
      <w:r>
        <w:rPr>
          <w:rFonts w:hint="eastAsia" w:hAnsi="宋体"/>
          <w:color w:val="auto"/>
          <w:sz w:val="24"/>
          <w:szCs w:val="24"/>
          <w:highlight w:val="none"/>
        </w:rPr>
        <w:t xml:space="preserve">日至</w:t>
      </w:r>
      <w:r>
        <w:rPr>
          <w:rFonts w:hint="eastAsia" w:hAnsi="宋体"/>
          <w:color w:val="auto"/>
          <w:sz w:val="24"/>
          <w:highlight w:val="none"/>
          <w:u w:val="single"/>
        </w:rPr>
        <w:t xml:space="preserve">    </w:t>
      </w:r>
      <w:r>
        <w:rPr>
          <w:rFonts w:hAnsi="宋体"/>
          <w:color w:val="auto"/>
          <w:sz w:val="24"/>
          <w:szCs w:val="24"/>
          <w:highlight w:val="none"/>
        </w:rPr>
        <w:t xml:space="preserve">年</w:t>
      </w:r>
      <w:r>
        <w:rPr>
          <w:rFonts w:hint="eastAsia" w:hAnsi="宋体"/>
          <w:color w:val="auto"/>
          <w:sz w:val="24"/>
          <w:szCs w:val="24"/>
          <w:highlight w:val="none"/>
          <w:u w:val="single"/>
        </w:rPr>
        <w:t xml:space="preserve">   </w:t>
      </w:r>
      <w:r>
        <w:rPr>
          <w:rFonts w:hAnsi="宋体"/>
          <w:color w:val="auto"/>
          <w:sz w:val="24"/>
          <w:szCs w:val="24"/>
          <w:highlight w:val="none"/>
        </w:rPr>
        <w:t xml:space="preserve">月</w:t>
      </w:r>
      <w:r>
        <w:rPr>
          <w:rFonts w:hint="eastAsia" w:hAnsi="宋体"/>
          <w:color w:val="auto"/>
          <w:sz w:val="24"/>
          <w:szCs w:val="24"/>
          <w:highlight w:val="none"/>
          <w:u w:val="single"/>
        </w:rPr>
        <w:t xml:space="preserve">   </w:t>
      </w:r>
      <w:r>
        <w:rPr>
          <w:rFonts w:hAnsi="宋体"/>
          <w:color w:val="auto"/>
          <w:sz w:val="24"/>
          <w:szCs w:val="24"/>
          <w:highlight w:val="none"/>
        </w:rPr>
        <w:t xml:space="preserve">日</w:t>
      </w:r>
      <w:r>
        <w:rPr>
          <w:rFonts w:hint="eastAsia" w:hAnsi="宋体"/>
          <w:color w:val="auto"/>
          <w:sz w:val="24"/>
          <w:szCs w:val="24"/>
          <w:highlight w:val="none"/>
        </w:rPr>
        <w:t xml:space="preserve">止。</w:t>
      </w:r>
      <w:r/>
    </w:p>
    <w:p>
      <w:pPr>
        <w:pStyle w:val="986"/>
        <w:ind w:left="315" w:firstLine="120"/>
        <w:spacing w:after="0" w:line="480" w:lineRule="exact"/>
        <w:rPr>
          <w:rFonts w:hAnsi="宋体" w:cs="宋体"/>
          <w:b/>
          <w:bCs/>
          <w:color w:val="auto"/>
          <w:sz w:val="24"/>
          <w:highlight w:val="none"/>
        </w:rPr>
      </w:pPr>
      <w:r>
        <w:rPr>
          <w:rFonts w:hint="eastAsia" w:hAnsi="宋体" w:cs="宋体"/>
          <w:b/>
          <w:bCs/>
          <w:color w:val="auto"/>
          <w:sz w:val="24"/>
          <w:szCs w:val="24"/>
          <w:highlight w:val="none"/>
        </w:rPr>
        <w:t xml:space="preserve">9.交付方式及交付地点</w:t>
      </w:r>
      <w:r/>
    </w:p>
    <w:p>
      <w:pPr>
        <w:pStyle w:val="986"/>
        <w:ind w:firstLine="480"/>
        <w:spacing w:after="0" w:line="480" w:lineRule="exact"/>
        <w:rPr>
          <w:rFonts w:hAnsi="宋体" w:cs="宋体"/>
          <w:bCs/>
          <w:color w:val="auto"/>
          <w:sz w:val="24"/>
          <w:highlight w:val="none"/>
        </w:rPr>
      </w:pPr>
      <w:r>
        <w:rPr>
          <w:rFonts w:hint="eastAsia" w:hAnsi="宋体" w:cs="宋体"/>
          <w:bCs/>
          <w:color w:val="auto"/>
          <w:sz w:val="24"/>
          <w:szCs w:val="24"/>
          <w:highlight w:val="none"/>
        </w:rPr>
        <w:t xml:space="preserve">9.1交付方式：</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w:t>
      </w:r>
      <w:r/>
    </w:p>
    <w:p>
      <w:pPr>
        <w:pStyle w:val="986"/>
        <w:ind w:firstLine="480"/>
        <w:spacing w:after="0" w:line="480" w:lineRule="exact"/>
        <w:rPr>
          <w:rFonts w:hAnsi="宋体" w:cs="宋体"/>
          <w:b/>
          <w:color w:val="auto"/>
          <w:sz w:val="24"/>
          <w:highlight w:val="none"/>
        </w:rPr>
      </w:pPr>
      <w:r>
        <w:rPr>
          <w:rFonts w:hint="eastAsia" w:hAnsi="宋体" w:cs="宋体"/>
          <w:bCs/>
          <w:color w:val="auto"/>
          <w:sz w:val="24"/>
          <w:szCs w:val="24"/>
          <w:highlight w:val="none"/>
        </w:rPr>
        <w:t xml:space="preserve">9.2服务地点：</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w:t>
      </w:r>
      <w:r/>
    </w:p>
    <w:p>
      <w:pPr>
        <w:pStyle w:val="986"/>
        <w:ind w:left="315" w:firstLine="120"/>
        <w:spacing w:after="0" w:line="480" w:lineRule="exact"/>
        <w:rPr>
          <w:rFonts w:hAnsi="宋体" w:cs="宋体"/>
          <w:b/>
          <w:bCs/>
          <w:color w:val="auto"/>
          <w:sz w:val="24"/>
          <w:highlight w:val="none"/>
        </w:rPr>
      </w:pPr>
      <w:r>
        <w:rPr>
          <w:rFonts w:hint="eastAsia" w:hAnsi="宋体" w:cs="宋体"/>
          <w:b/>
          <w:bCs/>
          <w:color w:val="auto"/>
          <w:sz w:val="24"/>
          <w:szCs w:val="24"/>
          <w:highlight w:val="none"/>
        </w:rPr>
        <w:t xml:space="preserve">10.付款方式</w:t>
      </w:r>
      <w:r/>
    </w:p>
    <w:p>
      <w:pPr>
        <w:ind w:firstLine="480"/>
        <w:spacing w:after="0" w:line="480" w:lineRule="exact"/>
        <w:rPr>
          <w:rFonts w:ascii="宋体" w:hAnsi="宋体" w:cs="宋体"/>
          <w:color w:val="auto"/>
          <w:sz w:val="24"/>
          <w:highlight w:val="none"/>
        </w:rPr>
      </w:pPr>
      <w:r>
        <w:rPr>
          <w:rFonts w:hint="eastAsia" w:ascii="宋体" w:hAnsi="宋体" w:cs="宋体"/>
          <w:color w:val="auto"/>
          <w:sz w:val="24"/>
          <w:highlight w:val="none"/>
        </w:rPr>
        <w:t xml:space="preserve">10.1本合同项下所有款项均以人民币支付。 </w:t>
      </w:r>
      <w:r/>
    </w:p>
    <w:p>
      <w:pPr>
        <w:ind w:firstLine="480"/>
        <w:spacing w:after="0" w:line="480" w:lineRule="exact"/>
        <w:rPr>
          <w:rFonts w:ascii="宋体" w:hAnsi="宋体" w:cs="宋体"/>
          <w:color w:val="auto"/>
          <w:sz w:val="24"/>
          <w:highlight w:val="none"/>
        </w:rPr>
      </w:pPr>
      <w:r>
        <w:rPr>
          <w:rFonts w:hint="eastAsia" w:ascii="宋体" w:hAnsi="宋体" w:cs="宋体"/>
          <w:color w:val="auto"/>
          <w:sz w:val="24"/>
          <w:highlight w:val="none"/>
        </w:rPr>
        <w:t xml:space="preserve">10.2本合同项下的采购资金由甲方支付，付款前乙方向甲方开具普通增值税发票。</w:t>
      </w:r>
      <w:r/>
    </w:p>
    <w:p>
      <w:pPr>
        <w:ind w:firstLine="480"/>
        <w:jc w:val="left"/>
        <w:spacing w:after="0" w:line="480" w:lineRule="exact"/>
        <w:widowControl/>
        <w:rPr>
          <w:rFonts w:ascii="宋体" w:hAnsi="宋体" w:cs="宋体"/>
          <w:bCs/>
          <w:color w:val="auto"/>
          <w:sz w:val="24"/>
          <w:highlight w:val="none"/>
        </w:rPr>
      </w:pPr>
      <w:r>
        <w:rPr>
          <w:rFonts w:hint="eastAsia" w:ascii="宋体" w:hAnsi="宋体" w:cs="宋体"/>
          <w:color w:val="auto"/>
          <w:sz w:val="24"/>
          <w:highlight w:val="none"/>
        </w:rPr>
        <w:t xml:space="preserve">10.3费用支付采取按季度考核支付的方式，分四次支付。原则上每季度根据考核结果支付一次。</w:t>
      </w:r>
      <w:r/>
    </w:p>
    <w:p>
      <w:pPr>
        <w:pStyle w:val="986"/>
        <w:ind w:left="315" w:firstLine="120"/>
        <w:spacing w:after="0" w:line="480" w:lineRule="exact"/>
        <w:rPr>
          <w:rFonts w:hAnsi="宋体" w:cs="宋体"/>
          <w:b/>
          <w:bCs/>
          <w:color w:val="auto"/>
          <w:sz w:val="24"/>
          <w:highlight w:val="none"/>
        </w:rPr>
      </w:pPr>
      <w:r>
        <w:rPr>
          <w:rFonts w:hint="eastAsia" w:hAnsi="宋体" w:cs="宋体"/>
          <w:b/>
          <w:bCs/>
          <w:color w:val="auto"/>
          <w:sz w:val="24"/>
          <w:szCs w:val="24"/>
          <w:highlight w:val="none"/>
        </w:rPr>
        <w:t xml:space="preserve">11.税费</w:t>
      </w:r>
      <w:r/>
    </w:p>
    <w:p>
      <w:pPr>
        <w:pStyle w:val="986"/>
        <w:ind w:firstLine="480"/>
        <w:spacing w:after="0" w:line="480" w:lineRule="exact"/>
        <w:rPr>
          <w:rFonts w:hAnsi="宋体" w:cs="宋体"/>
          <w:b/>
          <w:bCs/>
          <w:color w:val="auto"/>
          <w:sz w:val="24"/>
          <w:highlight w:val="none"/>
        </w:rPr>
      </w:pPr>
      <w:r>
        <w:rPr>
          <w:rFonts w:hint="eastAsia" w:hAnsi="宋体" w:cs="宋体"/>
          <w:color w:val="auto"/>
          <w:sz w:val="24"/>
          <w:szCs w:val="24"/>
          <w:highlight w:val="none"/>
        </w:rPr>
        <w:t xml:space="preserve">本合同执行中相关的一切税费均由乙方负担。</w:t>
      </w:r>
      <w:r/>
    </w:p>
    <w:p>
      <w:pPr>
        <w:pStyle w:val="986"/>
        <w:ind w:left="315" w:firstLine="120"/>
        <w:spacing w:after="0" w:line="480" w:lineRule="exact"/>
        <w:rPr>
          <w:rFonts w:hAnsi="宋体" w:cs="宋体"/>
          <w:b/>
          <w:bCs/>
          <w:color w:val="auto"/>
          <w:sz w:val="24"/>
          <w:highlight w:val="none"/>
        </w:rPr>
      </w:pPr>
      <w:r>
        <w:rPr>
          <w:rFonts w:hint="eastAsia" w:hAnsi="宋体" w:cs="宋体"/>
          <w:b/>
          <w:bCs/>
          <w:color w:val="auto"/>
          <w:sz w:val="24"/>
          <w:szCs w:val="24"/>
          <w:highlight w:val="none"/>
        </w:rPr>
        <w:t xml:space="preserve">12.质量保证及服务</w:t>
      </w:r>
      <w:r/>
    </w:p>
    <w:p>
      <w:pPr>
        <w:ind w:firstLine="480"/>
        <w:spacing w:after="0" w:line="480" w:lineRule="exact"/>
        <w:rPr>
          <w:rFonts w:ascii="宋体" w:hAnsi="宋体" w:cs="宋体"/>
          <w:color w:val="auto"/>
          <w:sz w:val="24"/>
          <w:highlight w:val="none"/>
        </w:rPr>
      </w:pPr>
      <w:r>
        <w:rPr>
          <w:rFonts w:hint="eastAsia" w:ascii="宋体" w:hAnsi="宋体" w:cs="宋体"/>
          <w:color w:val="auto"/>
          <w:sz w:val="24"/>
          <w:highlight w:val="none"/>
        </w:rPr>
        <w:t xml:space="preserve">12.1乙方应按采购文件规定及响应文件承诺的服务要求、质量标准向甲方提供服务；若无特殊说明，则按国家有关部门最新颁布的标准及规范为准。乙方应建立完善的养护责任制度，制定养护岗位职责以及各岗位规范、操作规程、养护制度（包括节假日值班制度、防汛防台期间的值班制度和应急抢险工作制度）。根据招投标文书或相关规定，配备具备相应技术证书（等级认定）项目负责人、技术管理人员、养护作业人员、安全管理员等并将岗位规范、操作规程、管理制度及工作人员的名单交甲方备案。</w:t>
      </w:r>
      <w:r/>
    </w:p>
    <w:p>
      <w:pPr>
        <w:ind w:firstLine="480"/>
        <w:spacing w:after="0" w:line="480" w:lineRule="exact"/>
        <w:rPr>
          <w:rFonts w:ascii="宋体" w:hAnsi="宋体" w:cs="宋体"/>
          <w:color w:val="auto"/>
          <w:sz w:val="24"/>
          <w:highlight w:val="none"/>
        </w:rPr>
      </w:pPr>
      <w:r>
        <w:rPr>
          <w:rFonts w:hint="eastAsia" w:ascii="宋体" w:hAnsi="宋体" w:cs="宋体"/>
          <w:color w:val="auto"/>
          <w:sz w:val="24"/>
          <w:highlight w:val="none"/>
        </w:rPr>
        <w:t xml:space="preserve">12.2乙方应保证其提供的服务是全面和规范的，并完全符合招投标文件及甲方要求。根据季节、气候、土壤、植物的生长习性和生长阶段及养护场地的具体情况合理安排、开展养护工作，根据甲方要求及时做好养护区域的局部调整，保证绿化观赏的整体性，并向甲方提供年、季、月度养护管理方案及相应进度统计表。如因乙方提供的服务有瑕疵造成甲方损失的，所需费用由乙方承担。</w:t>
      </w:r>
      <w:r/>
    </w:p>
    <w:p>
      <w:pPr>
        <w:ind w:firstLine="480"/>
        <w:spacing w:after="0" w:line="480" w:lineRule="exact"/>
        <w:rPr>
          <w:rFonts w:ascii="宋体" w:hAnsi="宋体" w:cs="宋体"/>
          <w:color w:val="auto"/>
          <w:sz w:val="24"/>
          <w:highlight w:val="none"/>
        </w:rPr>
      </w:pPr>
      <w:r>
        <w:rPr>
          <w:rFonts w:hint="eastAsia" w:ascii="宋体" w:hAnsi="宋体" w:cs="宋体"/>
          <w:color w:val="auto"/>
          <w:sz w:val="24"/>
          <w:highlight w:val="none"/>
        </w:rPr>
        <w:t xml:space="preserve">12.3在养护过程中，乙方须安排专人负责养护区域内的自查工作，及时处置发现的问题并记录台账，如发现各类苗木、设施有被损、被盗等情况时，应及时向甲方汇报并立即进行补缺、恢复。</w:t>
      </w:r>
      <w:r/>
    </w:p>
    <w:p>
      <w:pPr>
        <w:ind w:firstLine="480"/>
        <w:spacing w:after="0" w:line="480" w:lineRule="exact"/>
        <w:rPr>
          <w:rFonts w:ascii="宋体" w:hAnsi="宋体" w:cs="宋体"/>
          <w:color w:val="auto"/>
          <w:sz w:val="24"/>
          <w:highlight w:val="none"/>
        </w:rPr>
      </w:pPr>
      <w:r>
        <w:rPr>
          <w:rFonts w:hint="eastAsia" w:ascii="宋体" w:hAnsi="宋体" w:cs="宋体"/>
          <w:color w:val="auto"/>
          <w:sz w:val="24"/>
          <w:highlight w:val="none"/>
        </w:rPr>
        <w:t xml:space="preserve">12.4养护期间，乙方须确保养护范围内的公用设施不受养护措施的影响。如在服务过程中发生质量、安全问题，乙方在接到甲方通知后在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小时内到达甲方现场。</w:t>
      </w:r>
      <w:r/>
    </w:p>
    <w:p>
      <w:pPr>
        <w:ind w:firstLine="480"/>
        <w:spacing w:after="0" w:line="480" w:lineRule="exact"/>
        <w:rPr>
          <w:rFonts w:ascii="宋体" w:hAnsi="宋体" w:cs="宋体"/>
          <w:color w:val="auto"/>
          <w:sz w:val="24"/>
          <w:highlight w:val="none"/>
        </w:rPr>
      </w:pPr>
      <w:r>
        <w:rPr>
          <w:rFonts w:hint="eastAsia" w:ascii="宋体" w:hAnsi="宋体" w:cs="宋体"/>
          <w:color w:val="auto"/>
          <w:sz w:val="24"/>
          <w:highlight w:val="none"/>
        </w:rPr>
        <w:t xml:space="preserve">12.5乙方应对所提供服务出现的质量及安全问题负责处理解决并承担一切费用。</w:t>
      </w:r>
      <w:r/>
    </w:p>
    <w:p>
      <w:pPr>
        <w:ind w:firstLine="480"/>
        <w:spacing w:after="0" w:line="480" w:lineRule="exact"/>
        <w:rPr>
          <w:rFonts w:ascii="宋体" w:hAnsi="宋体" w:cs="宋体"/>
          <w:color w:val="auto"/>
          <w:sz w:val="24"/>
          <w:highlight w:val="none"/>
        </w:rPr>
      </w:pPr>
      <w:r>
        <w:rPr>
          <w:rFonts w:hint="eastAsia" w:ascii="宋体" w:hAnsi="宋体" w:cs="宋体"/>
          <w:color w:val="auto"/>
          <w:sz w:val="24"/>
          <w:highlight w:val="none"/>
        </w:rPr>
        <w:t xml:space="preserve">12.6涉及重大活动或其他原因，甲方认为确有必要暂停养护工作或调整养护方案时，将以书面形式要求乙方调整养护时间或更改养护措施。乙方应遵从甲方要求进行相应调整。</w:t>
      </w:r>
      <w:r/>
    </w:p>
    <w:p>
      <w:pPr>
        <w:pStyle w:val="986"/>
        <w:ind w:left="315" w:firstLine="120"/>
        <w:spacing w:after="0" w:line="480" w:lineRule="exact"/>
        <w:rPr>
          <w:rFonts w:hAnsi="宋体" w:cs="宋体"/>
          <w:b/>
          <w:bCs/>
          <w:color w:val="auto"/>
          <w:sz w:val="24"/>
          <w:highlight w:val="none"/>
        </w:rPr>
      </w:pPr>
      <w:r>
        <w:rPr>
          <w:rFonts w:hint="eastAsia" w:hAnsi="宋体" w:cs="宋体"/>
          <w:b/>
          <w:bCs/>
          <w:color w:val="auto"/>
          <w:sz w:val="24"/>
          <w:szCs w:val="24"/>
          <w:highlight w:val="none"/>
        </w:rPr>
        <w:t xml:space="preserve">13.违约责任</w:t>
      </w:r>
      <w:r/>
    </w:p>
    <w:p>
      <w:pPr>
        <w:pStyle w:val="986"/>
        <w:ind w:firstLine="480"/>
        <w:spacing w:after="0" w:line="480" w:lineRule="exact"/>
        <w:rPr>
          <w:rFonts w:hAnsi="宋体" w:cs="宋体"/>
          <w:color w:val="auto"/>
          <w:sz w:val="24"/>
          <w:highlight w:val="none"/>
        </w:rPr>
      </w:pPr>
      <w:r>
        <w:rPr>
          <w:rFonts w:hint="eastAsia" w:hAnsi="宋体" w:cs="宋体"/>
          <w:color w:val="auto"/>
          <w:sz w:val="24"/>
          <w:highlight w:val="none"/>
        </w:rPr>
        <w:t xml:space="preserve">13.1</w:t>
      </w:r>
      <w:r>
        <w:rPr>
          <w:rFonts w:hint="eastAsia" w:hAnsi="宋体" w:cs="宋体"/>
          <w:color w:val="auto"/>
          <w:sz w:val="24"/>
          <w:szCs w:val="24"/>
          <w:highlight w:val="none"/>
        </w:rPr>
        <w:t xml:space="preserve">合同生效后，发现乙方投标时存在虚假承诺，或经权威部门监测提供的服务不能满足采购文件要求，造成合同无法继续履行的，应向甲方支付不少于合同总价</w:t>
      </w:r>
      <w:r>
        <w:rPr>
          <w:rFonts w:hint="eastAsia" w:hAnsi="宋体" w:cs="宋体"/>
          <w:color w:val="auto"/>
          <w:sz w:val="24"/>
          <w:szCs w:val="24"/>
          <w:highlight w:val="none"/>
          <w:u w:val="single"/>
        </w:rPr>
        <w:t xml:space="preserve"> 10 </w:t>
      </w:r>
      <w:r>
        <w:rPr>
          <w:rFonts w:hint="eastAsia" w:hAnsi="宋体" w:cs="宋体"/>
          <w:color w:val="auto"/>
          <w:sz w:val="24"/>
          <w:szCs w:val="24"/>
          <w:highlight w:val="none"/>
        </w:rPr>
        <w:t xml:space="preserve">%赔偿金。</w:t>
      </w:r>
      <w:r/>
    </w:p>
    <w:p>
      <w:pPr>
        <w:pStyle w:val="986"/>
        <w:ind w:firstLine="480"/>
        <w:spacing w:after="0" w:line="480" w:lineRule="exact"/>
        <w:rPr>
          <w:rFonts w:hAnsi="宋体" w:cs="宋体"/>
          <w:color w:val="auto"/>
          <w:sz w:val="24"/>
          <w:highlight w:val="none"/>
        </w:rPr>
      </w:pPr>
      <w:r>
        <w:rPr>
          <w:rFonts w:hint="eastAsia" w:hAnsi="宋体" w:cs="宋体"/>
          <w:color w:val="auto"/>
          <w:sz w:val="24"/>
          <w:highlight w:val="none"/>
        </w:rPr>
        <w:t xml:space="preserve">13.2</w:t>
      </w:r>
      <w:r>
        <w:rPr>
          <w:rFonts w:hint="eastAsia" w:hAnsi="宋体" w:cs="宋体"/>
          <w:color w:val="auto"/>
          <w:sz w:val="24"/>
          <w:szCs w:val="24"/>
          <w:highlight w:val="none"/>
        </w:rPr>
        <w:t xml:space="preserve">本项目派驻团队及提供的服务必须与招、投标文件保持一致，若需调整须经甲方书面同意，否则甲方有权终止合同。</w:t>
      </w:r>
      <w:r/>
    </w:p>
    <w:p>
      <w:pPr>
        <w:pStyle w:val="986"/>
        <w:ind w:firstLine="482"/>
        <w:spacing w:after="0" w:line="480" w:lineRule="exact"/>
        <w:rPr>
          <w:rFonts w:hAnsi="宋体" w:cs="宋体"/>
          <w:b/>
          <w:bCs/>
          <w:color w:val="auto"/>
          <w:sz w:val="24"/>
          <w:highlight w:val="none"/>
        </w:rPr>
      </w:pPr>
      <w:r>
        <w:rPr>
          <w:rFonts w:hint="eastAsia" w:hAnsi="宋体" w:cs="宋体"/>
          <w:b/>
          <w:bCs/>
          <w:color w:val="auto"/>
          <w:sz w:val="24"/>
          <w:szCs w:val="24"/>
          <w:highlight w:val="none"/>
        </w:rPr>
        <w:t xml:space="preserve">14.安全防护及不可抗力事件处理</w:t>
      </w:r>
      <w:r/>
    </w:p>
    <w:p>
      <w:pPr>
        <w:pStyle w:val="986"/>
        <w:ind w:firstLine="480"/>
        <w:spacing w:after="0" w:line="480" w:lineRule="exact"/>
        <w:rPr>
          <w:rFonts w:hAnsi="宋体" w:cs="宋体"/>
          <w:color w:val="auto"/>
          <w:sz w:val="24"/>
          <w:highlight w:val="none"/>
        </w:rPr>
      </w:pPr>
      <w:r>
        <w:rPr>
          <w:rFonts w:hint="eastAsia" w:hAnsi="宋体" w:cs="宋体"/>
          <w:color w:val="auto"/>
          <w:sz w:val="24"/>
          <w:szCs w:val="24"/>
          <w:highlight w:val="none"/>
        </w:rPr>
        <w:t xml:space="preserve">14.1乙方在养护期间，应当严格遵守安全生产作业的有关管理制度，并随时接受行业安全检查人员依法实施的监督检查，采取必要的安全防护措施，消除事故隐患。由于乙方安全措施不力造成事故的责任和因此发生的费用，均由乙方承担。</w:t>
      </w:r>
      <w:r/>
    </w:p>
    <w:p>
      <w:pPr>
        <w:pStyle w:val="986"/>
        <w:ind w:firstLine="480"/>
        <w:spacing w:after="0" w:line="480" w:lineRule="exact"/>
        <w:rPr>
          <w:rFonts w:hAnsi="宋体" w:cs="宋体"/>
          <w:color w:val="auto"/>
          <w:sz w:val="24"/>
          <w:highlight w:val="none"/>
        </w:rPr>
      </w:pPr>
      <w:r>
        <w:rPr>
          <w:rFonts w:hint="eastAsia" w:hAnsi="宋体" w:cs="宋体"/>
          <w:color w:val="auto"/>
          <w:sz w:val="24"/>
          <w:szCs w:val="24"/>
          <w:highlight w:val="none"/>
        </w:rPr>
        <w:t xml:space="preserve">14.2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986"/>
        <w:ind w:firstLine="480"/>
        <w:spacing w:after="0" w:line="480" w:lineRule="exact"/>
        <w:rPr>
          <w:rFonts w:hAnsi="宋体" w:cs="宋体"/>
          <w:color w:val="auto"/>
          <w:sz w:val="24"/>
          <w:highlight w:val="none"/>
        </w:rPr>
      </w:pPr>
      <w:r>
        <w:rPr>
          <w:rFonts w:hint="eastAsia" w:hAnsi="宋体" w:cs="宋体"/>
          <w:color w:val="auto"/>
          <w:sz w:val="24"/>
          <w:szCs w:val="24"/>
          <w:highlight w:val="none"/>
        </w:rPr>
        <w:t xml:space="preserve">14.3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986"/>
        <w:ind w:left="315" w:firstLine="120"/>
        <w:spacing w:after="0" w:line="480" w:lineRule="exact"/>
        <w:rPr>
          <w:rFonts w:hAnsi="宋体" w:cs="宋体"/>
          <w:b/>
          <w:bCs/>
          <w:color w:val="auto"/>
          <w:sz w:val="24"/>
          <w:highlight w:val="none"/>
        </w:rPr>
      </w:pPr>
      <w:r>
        <w:rPr>
          <w:rFonts w:hint="eastAsia" w:hAnsi="宋体" w:cs="宋体"/>
          <w:b/>
          <w:bCs/>
          <w:color w:val="auto"/>
          <w:sz w:val="24"/>
          <w:szCs w:val="24"/>
          <w:highlight w:val="none"/>
        </w:rPr>
        <w:t xml:space="preserve">15.争议解决</w:t>
      </w:r>
      <w:r/>
    </w:p>
    <w:p>
      <w:pPr>
        <w:pStyle w:val="986"/>
        <w:ind w:firstLine="480"/>
        <w:spacing w:after="0" w:line="480" w:lineRule="exact"/>
        <w:rPr>
          <w:rFonts w:hAnsi="宋体" w:cs="宋体"/>
          <w:color w:val="auto"/>
          <w:sz w:val="24"/>
          <w:highlight w:val="none"/>
        </w:rPr>
      </w:pPr>
      <w:r>
        <w:rPr>
          <w:rFonts w:hint="eastAsia" w:hAnsi="宋体" w:cs="宋体"/>
          <w:color w:val="auto"/>
          <w:sz w:val="24"/>
          <w:szCs w:val="24"/>
          <w:highlight w:val="none"/>
        </w:rPr>
        <w:t xml:space="preserve">15.1因服务的品质质量问题发生争议的，可在国家认可的质量检测机构对服务内容质量进行鉴定。服务符合标准的，鉴定费由甲方承担；服务项目不符合质量标准的，鉴定费由乙方承担。</w:t>
      </w:r>
      <w:r/>
    </w:p>
    <w:p>
      <w:pPr>
        <w:pStyle w:val="986"/>
        <w:ind w:firstLine="480"/>
        <w:spacing w:after="0" w:line="480" w:lineRule="exact"/>
        <w:rPr>
          <w:rFonts w:hAnsi="宋体" w:cs="宋体"/>
          <w:color w:val="auto"/>
          <w:sz w:val="24"/>
          <w:highlight w:val="none"/>
        </w:rPr>
      </w:pPr>
      <w:r>
        <w:rPr>
          <w:rFonts w:hint="eastAsia" w:hAnsi="宋体" w:cs="宋体"/>
          <w:color w:val="auto"/>
          <w:sz w:val="24"/>
          <w:szCs w:val="24"/>
          <w:highlight w:val="none"/>
        </w:rPr>
        <w:t xml:space="preserve">15.2因履行本合同引起的或与本合同有关的争议，甲、乙双方应首先通过友好协商解决；如果协商不能解决争议，甲乙双方同意先采取下列两种方式的第</w:t>
      </w:r>
      <w:r>
        <w:rPr>
          <w:rFonts w:hint="eastAsia" w:hAnsi="宋体" w:cs="宋体"/>
          <w:color w:val="auto"/>
          <w:sz w:val="24"/>
          <w:szCs w:val="24"/>
          <w:highlight w:val="none"/>
          <w:u w:val="single"/>
        </w:rPr>
        <w:t xml:space="preserve">（2）</w:t>
      </w:r>
      <w:r>
        <w:rPr>
          <w:rFonts w:hint="eastAsia" w:hAnsi="宋体" w:cs="宋体"/>
          <w:color w:val="auto"/>
          <w:sz w:val="24"/>
          <w:szCs w:val="24"/>
          <w:highlight w:val="none"/>
        </w:rPr>
        <w:t xml:space="preserve">种方式解决争议；如仲裁不能解决争议，甲乙双方同意最终采取下列两种方式的第</w:t>
      </w:r>
      <w:r>
        <w:rPr>
          <w:rFonts w:hint="eastAsia" w:hAnsi="宋体" w:cs="宋体"/>
          <w:color w:val="auto"/>
          <w:sz w:val="24"/>
          <w:szCs w:val="24"/>
          <w:highlight w:val="none"/>
          <w:u w:val="single"/>
        </w:rPr>
        <w:t xml:space="preserve">（1）</w:t>
      </w:r>
      <w:r>
        <w:rPr>
          <w:rFonts w:hint="eastAsia" w:hAnsi="宋体" w:cs="宋体"/>
          <w:color w:val="auto"/>
          <w:sz w:val="24"/>
          <w:szCs w:val="24"/>
          <w:highlight w:val="none"/>
        </w:rPr>
        <w:t xml:space="preserve">种方式解决争议。</w:t>
      </w:r>
      <w:r/>
    </w:p>
    <w:p>
      <w:pPr>
        <w:pStyle w:val="986"/>
        <w:ind w:firstLine="480"/>
        <w:spacing w:after="0" w:line="480" w:lineRule="exact"/>
        <w:rPr>
          <w:rFonts w:hAnsi="宋体" w:cs="宋体"/>
          <w:color w:val="auto"/>
          <w:sz w:val="24"/>
          <w:highlight w:val="none"/>
        </w:rPr>
      </w:pPr>
      <w:r>
        <w:rPr>
          <w:rFonts w:hint="eastAsia" w:hAnsi="宋体" w:cs="宋体"/>
          <w:color w:val="auto"/>
          <w:sz w:val="24"/>
          <w:szCs w:val="24"/>
          <w:highlight w:val="none"/>
        </w:rPr>
        <w:t xml:space="preserve">（1）向甲方所在地有管辖权的人民法院提起诉讼，适用中华人民共和国法律；</w:t>
      </w:r>
      <w:r/>
    </w:p>
    <w:p>
      <w:pPr>
        <w:pStyle w:val="986"/>
        <w:ind w:firstLine="480"/>
        <w:spacing w:after="0" w:line="480" w:lineRule="exact"/>
        <w:rPr>
          <w:rFonts w:hAnsi="宋体" w:cs="宋体"/>
          <w:color w:val="auto"/>
          <w:sz w:val="24"/>
          <w:highlight w:val="none"/>
        </w:rPr>
      </w:pPr>
      <w:r>
        <w:rPr>
          <w:rFonts w:hint="eastAsia" w:hAnsi="宋体" w:cs="宋体"/>
          <w:color w:val="auto"/>
          <w:sz w:val="24"/>
          <w:szCs w:val="24"/>
          <w:highlight w:val="none"/>
        </w:rPr>
        <w:t xml:space="preserve">（2）向泰州仲裁委员会按其仲裁规则申请仲裁。</w:t>
      </w:r>
      <w:r/>
    </w:p>
    <w:p>
      <w:pPr>
        <w:pStyle w:val="986"/>
        <w:ind w:firstLine="480"/>
        <w:spacing w:after="0" w:line="480" w:lineRule="exact"/>
        <w:rPr>
          <w:rFonts w:hAnsi="宋体" w:cs="宋体"/>
          <w:color w:val="auto"/>
          <w:sz w:val="24"/>
          <w:highlight w:val="none"/>
        </w:rPr>
      </w:pPr>
      <w:r>
        <w:rPr>
          <w:rFonts w:hint="eastAsia" w:hAnsi="宋体" w:cs="宋体"/>
          <w:color w:val="auto"/>
          <w:sz w:val="24"/>
          <w:szCs w:val="24"/>
          <w:highlight w:val="none"/>
        </w:rPr>
        <w:t xml:space="preserve">15.3若甲乙双方任何一方都没有选择解除合同的，为避免扩大损失，在诉讼或仲裁期间，双方应继续履行合同。</w:t>
      </w:r>
      <w:r/>
    </w:p>
    <w:p>
      <w:pPr>
        <w:pStyle w:val="986"/>
        <w:ind w:left="315" w:firstLine="120"/>
        <w:spacing w:after="0" w:line="480" w:lineRule="exact"/>
        <w:rPr>
          <w:rFonts w:hAnsi="宋体" w:cs="宋体"/>
          <w:b/>
          <w:bCs/>
          <w:color w:val="auto"/>
          <w:sz w:val="24"/>
          <w:highlight w:val="none"/>
        </w:rPr>
      </w:pPr>
      <w:r>
        <w:rPr>
          <w:rFonts w:hint="eastAsia" w:hAnsi="宋体" w:cs="宋体"/>
          <w:b/>
          <w:bCs/>
          <w:color w:val="auto"/>
          <w:sz w:val="24"/>
          <w:szCs w:val="24"/>
          <w:highlight w:val="none"/>
        </w:rPr>
        <w:t xml:space="preserve">16.合同其他</w:t>
      </w:r>
      <w:r/>
    </w:p>
    <w:p>
      <w:pPr>
        <w:pStyle w:val="986"/>
        <w:ind w:firstLine="480"/>
        <w:spacing w:after="0" w:line="480" w:lineRule="exact"/>
        <w:rPr>
          <w:rFonts w:hAnsi="宋体" w:cs="宋体"/>
          <w:color w:val="auto"/>
          <w:sz w:val="24"/>
          <w:highlight w:val="none"/>
        </w:rPr>
      </w:pPr>
      <w:r>
        <w:rPr>
          <w:rFonts w:hint="eastAsia" w:hAnsi="宋体" w:cs="宋体"/>
          <w:color w:val="auto"/>
          <w:sz w:val="24"/>
          <w:szCs w:val="24"/>
          <w:highlight w:val="none"/>
        </w:rPr>
        <w:t xml:space="preserve">16.1乙方应诚实信用，严格按照采购文件要求和投标承诺履行合同，不向甲方进行商业贿赂或者提供不正当利益。</w:t>
      </w:r>
      <w:r/>
    </w:p>
    <w:p>
      <w:pPr>
        <w:pStyle w:val="986"/>
        <w:ind w:firstLine="480"/>
        <w:spacing w:after="0" w:line="480" w:lineRule="exact"/>
        <w:rPr>
          <w:rFonts w:hAnsi="宋体" w:cs="宋体"/>
          <w:color w:val="auto"/>
          <w:sz w:val="24"/>
          <w:highlight w:val="none"/>
          <w:u w:val="single"/>
        </w:rPr>
      </w:pPr>
      <w:r>
        <w:rPr>
          <w:rFonts w:hint="eastAsia" w:hAnsi="宋体" w:cs="宋体"/>
          <w:color w:val="auto"/>
          <w:sz w:val="24"/>
          <w:szCs w:val="24"/>
          <w:highlight w:val="none"/>
        </w:rPr>
        <w:t xml:space="preserve">16.2合同经双方法定代表人或授权代表签字并加盖单位公章后生效。</w:t>
      </w:r>
      <w:r/>
    </w:p>
    <w:p>
      <w:pPr>
        <w:pStyle w:val="986"/>
        <w:ind w:firstLine="480"/>
        <w:spacing w:after="0" w:line="480" w:lineRule="exact"/>
        <w:rPr>
          <w:rFonts w:hAnsi="宋体" w:cs="宋体"/>
          <w:color w:val="auto"/>
          <w:sz w:val="24"/>
          <w:highlight w:val="none"/>
          <w:u w:val="single"/>
        </w:rPr>
      </w:pPr>
      <w:r>
        <w:rPr>
          <w:rFonts w:hint="eastAsia" w:hAnsi="宋体" w:cs="宋体"/>
          <w:color w:val="auto"/>
          <w:sz w:val="24"/>
          <w:szCs w:val="24"/>
          <w:highlight w:val="none"/>
        </w:rPr>
        <w:t xml:space="preserve">16.</w:t>
      </w:r>
      <w:r>
        <w:rPr>
          <w:rFonts w:hint="eastAsia" w:hAnsi="宋体" w:cs="宋体"/>
          <w:color w:val="auto"/>
          <w:sz w:val="24"/>
          <w:highlight w:val="none"/>
        </w:rPr>
        <w:t xml:space="preserve">3</w:t>
      </w:r>
      <w:r>
        <w:rPr>
          <w:rFonts w:hint="eastAsia" w:hAnsi="宋体" w:cs="宋体"/>
          <w:color w:val="auto"/>
          <w:sz w:val="24"/>
          <w:szCs w:val="24"/>
          <w:highlight w:val="none"/>
        </w:rPr>
        <w:t xml:space="preserve">本合同未尽事宜，遵照《</w:t>
      </w:r>
      <w:r>
        <w:rPr>
          <w:rFonts w:hint="eastAsia" w:hAnsi="宋体" w:cs="宋体"/>
          <w:color w:val="auto"/>
          <w:sz w:val="24"/>
          <w:highlight w:val="none"/>
        </w:rPr>
        <w:t xml:space="preserve">中华人民共和国</w:t>
      </w:r>
      <w:r>
        <w:rPr>
          <w:rFonts w:hint="eastAsia" w:hAnsi="宋体" w:cs="宋体"/>
          <w:color w:val="auto"/>
          <w:sz w:val="24"/>
          <w:szCs w:val="24"/>
          <w:highlight w:val="none"/>
        </w:rPr>
        <w:t xml:space="preserve">民法典》有关条文执行。</w:t>
      </w:r>
      <w:r/>
    </w:p>
    <w:p>
      <w:pPr>
        <w:ind w:firstLine="480"/>
        <w:spacing w:after="0"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16.4本</w:t>
      </w:r>
      <w:r>
        <w:rPr>
          <w:rFonts w:hint="eastAsia" w:cs="宋体" w:asciiTheme="minorEastAsia" w:hAnsiTheme="minorEastAsia" w:eastAsiaTheme="minorEastAsia"/>
          <w:bCs/>
          <w:color w:val="auto"/>
          <w:sz w:val="24"/>
          <w:highlight w:val="none"/>
        </w:rPr>
        <w:t xml:space="preserve">合同正本一式</w:t>
      </w:r>
      <w:r>
        <w:rPr>
          <w:rFonts w:hint="eastAsia" w:cs="宋体" w:asciiTheme="minorEastAsia" w:hAnsiTheme="minorEastAsia" w:eastAsiaTheme="minorEastAsia"/>
          <w:bCs/>
          <w:color w:val="auto"/>
          <w:sz w:val="24"/>
          <w:highlight w:val="none"/>
          <w:u w:val="single"/>
        </w:rPr>
        <w:t xml:space="preserve">   </w:t>
      </w:r>
      <w:r>
        <w:rPr>
          <w:rFonts w:hint="eastAsia" w:cs="宋体" w:asciiTheme="minorEastAsia" w:hAnsiTheme="minorEastAsia" w:eastAsiaTheme="minorEastAsia"/>
          <w:bCs/>
          <w:color w:val="auto"/>
          <w:sz w:val="24"/>
          <w:highlight w:val="none"/>
        </w:rPr>
        <w:t xml:space="preserve">份，具有同等法律效力，甲方、乙方各执</w:t>
      </w:r>
      <w:r>
        <w:rPr>
          <w:rFonts w:hint="eastAsia" w:cs="宋体" w:asciiTheme="minorEastAsia" w:hAnsiTheme="minorEastAsia" w:eastAsiaTheme="minorEastAsia"/>
          <w:bCs/>
          <w:color w:val="auto"/>
          <w:sz w:val="24"/>
          <w:highlight w:val="none"/>
          <w:u w:val="single"/>
        </w:rPr>
        <w:t xml:space="preserve">   </w:t>
      </w:r>
      <w:r>
        <w:rPr>
          <w:rFonts w:hint="eastAsia" w:cs="宋体" w:asciiTheme="minorEastAsia" w:hAnsiTheme="minorEastAsia" w:eastAsiaTheme="minorEastAsia"/>
          <w:bCs/>
          <w:color w:val="auto"/>
          <w:sz w:val="24"/>
          <w:highlight w:val="none"/>
        </w:rPr>
        <w:t xml:space="preserve">份。</w:t>
      </w:r>
      <w:r/>
    </w:p>
    <w:p>
      <w:pPr>
        <w:pStyle w:val="986"/>
        <w:ind w:firstLine="480"/>
        <w:spacing w:after="0" w:line="480" w:lineRule="exact"/>
        <w:rPr>
          <w:rFonts w:hAnsi="宋体" w:cs="宋体"/>
          <w:color w:val="auto"/>
          <w:sz w:val="24"/>
          <w:highlight w:val="none"/>
        </w:rPr>
      </w:pPr>
      <w:r>
        <w:rPr>
          <w:rFonts w:hAnsi="宋体" w:cs="宋体"/>
          <w:color w:val="auto"/>
          <w:sz w:val="24"/>
          <w:highlight w:val="none"/>
        </w:rPr>
      </w:r>
      <w:r/>
    </w:p>
    <w:p>
      <w:pPr>
        <w:pStyle w:val="986"/>
        <w:ind w:left="420" w:hanging="480"/>
        <w:spacing w:after="0" w:line="480" w:lineRule="exact"/>
        <w:rPr>
          <w:rFonts w:hAnsi="宋体" w:cs="宋体"/>
          <w:color w:val="auto"/>
          <w:sz w:val="24"/>
          <w:szCs w:val="24"/>
          <w:highlight w:val="none"/>
        </w:rPr>
      </w:pPr>
      <w:r>
        <w:rPr>
          <w:rFonts w:hint="eastAsia" w:hAnsi="宋体" w:cs="宋体"/>
          <w:color w:val="auto"/>
          <w:sz w:val="24"/>
          <w:szCs w:val="24"/>
          <w:highlight w:val="none"/>
        </w:rPr>
        <w:t xml:space="preserve">  甲方：</w:t>
      </w:r>
      <w:r>
        <w:rPr>
          <w:rFonts w:hint="eastAsia" w:hAnsi="宋体" w:cs="宋体"/>
          <w:color w:val="auto"/>
          <w:sz w:val="24"/>
          <w:szCs w:val="24"/>
          <w:highlight w:val="none"/>
        </w:rPr>
        <w:tab/>
      </w:r>
      <w:r>
        <w:rPr>
          <w:rFonts w:hint="eastAsia" w:hAnsi="宋体" w:cs="宋体"/>
          <w:color w:val="auto"/>
          <w:sz w:val="24"/>
          <w:szCs w:val="24"/>
          <w:highlight w:val="none"/>
        </w:rPr>
        <w:tab/>
      </w:r>
      <w:r>
        <w:rPr>
          <w:rFonts w:hint="eastAsia" w:hAnsi="宋体" w:cs="宋体"/>
          <w:color w:val="auto"/>
          <w:sz w:val="24"/>
          <w:szCs w:val="24"/>
          <w:highlight w:val="none"/>
        </w:rPr>
        <w:tab/>
      </w:r>
      <w:r>
        <w:rPr>
          <w:rFonts w:hint="eastAsia" w:hAnsi="宋体" w:cs="宋体"/>
          <w:color w:val="auto"/>
          <w:sz w:val="24"/>
          <w:szCs w:val="24"/>
          <w:highlight w:val="none"/>
        </w:rPr>
        <w:tab/>
      </w:r>
      <w:r>
        <w:rPr>
          <w:rFonts w:hint="eastAsia" w:hAnsi="宋体" w:cs="宋体"/>
          <w:color w:val="auto"/>
          <w:sz w:val="24"/>
          <w:szCs w:val="24"/>
          <w:highlight w:val="none"/>
        </w:rPr>
        <w:t xml:space="preserve">                     乙方： </w:t>
      </w:r>
      <w:r/>
    </w:p>
    <w:p>
      <w:pPr>
        <w:pStyle w:val="986"/>
        <w:spacing w:after="0" w:line="480" w:lineRule="exact"/>
        <w:rPr>
          <w:rFonts w:hAnsi="宋体" w:cs="宋体"/>
          <w:color w:val="auto"/>
          <w:sz w:val="24"/>
          <w:highlight w:val="none"/>
        </w:rPr>
      </w:pPr>
      <w:r>
        <w:rPr>
          <w:rFonts w:hint="eastAsia" w:hAnsi="宋体" w:cs="宋体"/>
          <w:color w:val="auto"/>
          <w:sz w:val="24"/>
          <w:szCs w:val="24"/>
          <w:highlight w:val="none"/>
        </w:rPr>
        <w:t xml:space="preserve">  地址：</w:t>
      </w:r>
      <w:r>
        <w:rPr>
          <w:rFonts w:hint="eastAsia" w:hAnsi="宋体" w:cs="宋体"/>
          <w:color w:val="auto"/>
          <w:sz w:val="24"/>
          <w:szCs w:val="24"/>
          <w:highlight w:val="none"/>
        </w:rPr>
        <w:tab/>
      </w:r>
      <w:r>
        <w:rPr>
          <w:rFonts w:hint="eastAsia" w:hAnsi="宋体" w:cs="宋体"/>
          <w:color w:val="auto"/>
          <w:sz w:val="24"/>
          <w:szCs w:val="24"/>
          <w:highlight w:val="none"/>
        </w:rPr>
        <w:tab/>
      </w:r>
      <w:r>
        <w:rPr>
          <w:rFonts w:hint="eastAsia" w:hAnsi="宋体" w:cs="宋体"/>
          <w:color w:val="auto"/>
          <w:sz w:val="24"/>
          <w:szCs w:val="24"/>
          <w:highlight w:val="none"/>
        </w:rPr>
        <w:tab/>
      </w:r>
      <w:r>
        <w:rPr>
          <w:rFonts w:hint="eastAsia" w:hAnsi="宋体" w:cs="宋体"/>
          <w:color w:val="auto"/>
          <w:sz w:val="24"/>
          <w:szCs w:val="24"/>
          <w:highlight w:val="none"/>
        </w:rPr>
        <w:tab/>
      </w:r>
      <w:r>
        <w:rPr>
          <w:rFonts w:hint="eastAsia" w:hAnsi="宋体" w:cs="宋体"/>
          <w:color w:val="auto"/>
          <w:sz w:val="24"/>
          <w:szCs w:val="24"/>
          <w:highlight w:val="none"/>
        </w:rPr>
        <w:t xml:space="preserve">                     地址： </w:t>
      </w:r>
      <w:r/>
    </w:p>
    <w:p>
      <w:pPr>
        <w:pStyle w:val="986"/>
        <w:spacing w:after="0" w:line="480" w:lineRule="exact"/>
        <w:rPr>
          <w:rFonts w:hAnsi="宋体" w:cs="宋体"/>
          <w:color w:val="auto"/>
          <w:sz w:val="24"/>
          <w:highlight w:val="none"/>
        </w:rPr>
      </w:pPr>
      <w:r>
        <w:rPr>
          <w:rFonts w:hint="eastAsia" w:hAnsi="宋体" w:cs="宋体"/>
          <w:color w:val="auto"/>
          <w:sz w:val="24"/>
          <w:szCs w:val="24"/>
          <w:highlight w:val="none"/>
        </w:rPr>
        <w:t xml:space="preserve">  法定代表人或授权代表：                  法定代表人或授权代表：</w:t>
      </w:r>
      <w:r/>
    </w:p>
    <w:p>
      <w:pPr>
        <w:pStyle w:val="986"/>
        <w:spacing w:after="0" w:line="480" w:lineRule="exact"/>
        <w:rPr>
          <w:rFonts w:hAnsi="宋体" w:cs="宋体"/>
          <w:color w:val="auto"/>
          <w:sz w:val="24"/>
          <w:highlight w:val="none"/>
        </w:rPr>
      </w:pPr>
      <w:r>
        <w:rPr>
          <w:rFonts w:hint="eastAsia" w:hAnsi="宋体" w:cs="宋体"/>
          <w:color w:val="auto"/>
          <w:sz w:val="24"/>
          <w:szCs w:val="24"/>
          <w:highlight w:val="none"/>
        </w:rPr>
        <w:t xml:space="preserve">  联系电话：                              联系电话：</w:t>
      </w:r>
      <w:r/>
    </w:p>
    <w:p>
      <w:pPr>
        <w:pStyle w:val="986"/>
        <w:ind w:firstLine="240"/>
        <w:spacing w:after="0" w:line="480" w:lineRule="exact"/>
        <w:rPr>
          <w:rFonts w:hAnsi="宋体" w:cs="宋体"/>
          <w:color w:val="auto"/>
          <w:sz w:val="24"/>
          <w:szCs w:val="24"/>
          <w:highlight w:val="none"/>
        </w:rPr>
      </w:pPr>
      <w:r>
        <w:rPr>
          <w:rFonts w:hint="eastAsia" w:hAnsi="宋体" w:cs="宋体"/>
          <w:color w:val="auto"/>
          <w:sz w:val="24"/>
          <w:szCs w:val="24"/>
          <w:highlight w:val="none"/>
        </w:rPr>
        <w:t xml:space="preserve">日期：      年    月    日              日期：      年    月    日</w:t>
      </w:r>
      <w:r/>
    </w:p>
    <w:p>
      <w:pPr>
        <w:rPr>
          <w:rFonts w:hAnsi="宋体" w:cs="宋体"/>
          <w:color w:val="auto"/>
          <w:sz w:val="24"/>
          <w:highlight w:val="none"/>
        </w:rPr>
      </w:pPr>
      <w:r>
        <w:rPr>
          <w:rFonts w:hint="eastAsia" w:hAnsi="宋体" w:cs="宋体"/>
          <w:color w:val="auto"/>
          <w:sz w:val="24"/>
          <w:highlight w:val="none"/>
        </w:rPr>
        <w:br w:type="page" w:clear="all"/>
      </w:r>
      <w:bookmarkEnd w:id="99"/>
      <w:bookmarkEnd w:id="100"/>
      <w:bookmarkEnd w:id="101"/>
      <w:bookmarkEnd w:id="102"/>
      <w:bookmarkEnd w:id="103"/>
      <w:bookmarkEnd w:id="104"/>
      <w:bookmarkEnd w:id="105"/>
      <w:bookmarkEnd w:id="106"/>
      <w:bookmarkEnd w:id="107"/>
      <w:r/>
    </w:p>
    <w:p>
      <w:pPr>
        <w:pStyle w:val="965"/>
        <w:numPr>
          <w:ilvl w:val="0"/>
          <w:numId w:val="1"/>
        </w:numPr>
        <w:spacing w:after="0" w:line="360" w:lineRule="auto"/>
        <w:rPr>
          <w:color w:val="auto"/>
          <w:sz w:val="32"/>
          <w:szCs w:val="32"/>
          <w:highlight w:val="none"/>
        </w:rPr>
      </w:pPr>
      <w:r/>
      <w:bookmarkStart w:id="113" w:name="_Toc32522"/>
      <w:r/>
      <w:bookmarkStart w:id="114" w:name="_Toc262789432"/>
      <w:r/>
      <w:bookmarkStart w:id="115" w:name="_Toc304379119"/>
      <w:r/>
      <w:bookmarkStart w:id="116" w:name="_Toc23828480"/>
      <w:r/>
      <w:bookmarkStart w:id="117" w:name="_Toc26554097"/>
      <w:r/>
      <w:bookmarkStart w:id="118" w:name="_Toc61149622"/>
      <w:r>
        <w:rPr>
          <w:rFonts w:hint="eastAsia"/>
          <w:color w:val="auto"/>
          <w:sz w:val="32"/>
          <w:szCs w:val="32"/>
          <w:highlight w:val="none"/>
        </w:rPr>
        <w:t xml:space="preserve">采购需求</w:t>
      </w:r>
      <w:bookmarkEnd w:id="113"/>
      <w:r/>
      <w:r/>
    </w:p>
    <w:p>
      <w:pPr>
        <w:pStyle w:val="966"/>
        <w:jc w:val="both"/>
        <w:keepLines w:val="0"/>
        <w:keepNext w:val="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一、项目概况</w:t>
      </w:r>
      <w:r/>
    </w:p>
    <w:p>
      <w:pPr>
        <w:ind w:firstLine="482"/>
        <w:jc w:val="left"/>
        <w:spacing w:after="0" w:line="48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1.项目名称：</w:t>
      </w:r>
      <w:r>
        <w:rPr>
          <w:rFonts w:hint="eastAsia" w:ascii="宋体" w:hAnsi="宋体" w:cs="宋体"/>
          <w:color w:val="auto"/>
          <w:sz w:val="24"/>
          <w:highlight w:val="none"/>
        </w:rPr>
        <w:t xml:space="preserve">人民广场、天德湖公园南门等绿雕养护项目</w:t>
      </w:r>
      <w:r/>
    </w:p>
    <w:p>
      <w:pPr>
        <w:ind w:firstLine="482"/>
        <w:spacing w:after="0" w:line="480" w:lineRule="exact"/>
        <w:rPr>
          <w:rFonts w:ascii="宋体" w:hAnsi="宋体" w:cs="宋体"/>
          <w:color w:val="auto"/>
          <w:sz w:val="24"/>
          <w:highlight w:val="none"/>
        </w:rPr>
      </w:pPr>
      <w:r/>
      <w:bookmarkStart w:id="119" w:name="_Hlk240293793"/>
      <w:r>
        <w:rPr>
          <w:rFonts w:hint="eastAsia" w:ascii="宋体" w:hAnsi="宋体" w:cs="宋体"/>
          <w:bCs/>
          <w:color w:val="auto"/>
          <w:sz w:val="24"/>
          <w:highlight w:val="none"/>
        </w:rPr>
        <w:t xml:space="preserve">2.</w:t>
      </w:r>
      <w:r>
        <w:rPr>
          <w:rFonts w:hint="eastAsia" w:ascii="宋体" w:hAnsi="宋体" w:cs="宋体"/>
          <w:color w:val="auto"/>
          <w:sz w:val="24"/>
          <w:highlight w:val="none"/>
        </w:rPr>
        <w:t xml:space="preserve">预算金额：130万元；</w:t>
      </w:r>
      <w:r>
        <w:rPr>
          <w:rFonts w:hint="eastAsia" w:ascii="宋体" w:hAnsi="宋体" w:cs="宋体"/>
          <w:bCs/>
          <w:color w:val="auto"/>
          <w:sz w:val="24"/>
          <w:highlight w:val="none"/>
        </w:rPr>
        <w:t xml:space="preserve">最高限价：130万元，其中人民广场绿雕最高限价</w:t>
      </w:r>
      <w:r>
        <w:rPr>
          <w:rFonts w:ascii="宋体" w:hAnsi="宋体" w:cs="宋体"/>
          <w:bCs/>
          <w:color w:val="auto"/>
          <w:sz w:val="24"/>
          <w:highlight w:val="none"/>
        </w:rPr>
        <w:t xml:space="preserve">55</w:t>
      </w:r>
      <w:r>
        <w:rPr>
          <w:rFonts w:hint="eastAsia" w:ascii="宋体" w:hAnsi="宋体" w:cs="宋体"/>
          <w:bCs/>
          <w:color w:val="auto"/>
          <w:sz w:val="24"/>
          <w:highlight w:val="none"/>
        </w:rPr>
        <w:t xml:space="preserve">万元；天德湖南门绿雕最高限价</w:t>
      </w:r>
      <w:r>
        <w:rPr>
          <w:rFonts w:ascii="宋体" w:hAnsi="宋体" w:cs="宋体"/>
          <w:bCs/>
          <w:color w:val="auto"/>
          <w:sz w:val="24"/>
          <w:highlight w:val="none"/>
        </w:rPr>
        <w:t xml:space="preserve">75</w:t>
      </w:r>
      <w:r>
        <w:rPr>
          <w:rFonts w:hint="eastAsia" w:ascii="宋体" w:hAnsi="宋体" w:cs="宋体"/>
          <w:bCs/>
          <w:color w:val="auto"/>
          <w:sz w:val="24"/>
          <w:highlight w:val="none"/>
        </w:rPr>
        <w:t xml:space="preserve">万元（含永定东风高架立交绿柱、市广电局南门和</w:t>
      </w:r>
      <w:r>
        <w:rPr>
          <w:rFonts w:hint="eastAsia" w:ascii="宋体" w:hAnsi="宋体" w:cs="宋体"/>
          <w:color w:val="auto"/>
          <w:sz w:val="24"/>
          <w:highlight w:val="none"/>
        </w:rPr>
        <w:t xml:space="preserve">人民广场东支路东侧</w:t>
      </w:r>
      <w:r>
        <w:rPr>
          <w:rFonts w:hint="eastAsia" w:ascii="宋体" w:hAnsi="宋体" w:cs="宋体"/>
          <w:bCs/>
          <w:color w:val="auto"/>
          <w:sz w:val="24"/>
          <w:highlight w:val="none"/>
        </w:rPr>
        <w:t xml:space="preserve">绿墙等）。</w:t>
      </w:r>
      <w:bookmarkEnd w:id="119"/>
      <w:r/>
    </w:p>
    <w:p>
      <w:pPr>
        <w:ind w:firstLine="482"/>
        <w:spacing w:after="0" w:line="480" w:lineRule="exact"/>
        <w:rPr>
          <w:rFonts w:ascii="宋体" w:hAnsi="宋体" w:cs="宋体"/>
          <w:bCs/>
          <w:color w:val="auto"/>
          <w:sz w:val="24"/>
          <w:highlight w:val="none"/>
        </w:rPr>
      </w:pPr>
      <w:r>
        <w:rPr>
          <w:rFonts w:hint="eastAsia" w:ascii="宋体" w:hAnsi="宋体" w:cs="宋体"/>
          <w:bCs/>
          <w:color w:val="auto"/>
          <w:sz w:val="24"/>
          <w:highlight w:val="none"/>
        </w:rPr>
        <w:t xml:space="preserve">3.服务范围：泰州市人民广场、天德湖公园南门、永定东风高架立交、市广电局南门、</w:t>
      </w:r>
      <w:r>
        <w:rPr>
          <w:rFonts w:hint="eastAsia" w:ascii="宋体" w:hAnsi="宋体" w:cs="宋体"/>
          <w:color w:val="auto"/>
          <w:sz w:val="24"/>
          <w:highlight w:val="none"/>
        </w:rPr>
        <w:t xml:space="preserve">人民广场东支路东侧</w:t>
      </w:r>
      <w:r>
        <w:rPr>
          <w:rFonts w:hint="eastAsia" w:ascii="宋体" w:hAnsi="宋体" w:cs="宋体"/>
          <w:bCs/>
          <w:color w:val="auto"/>
          <w:sz w:val="24"/>
          <w:highlight w:val="none"/>
        </w:rPr>
        <w:t xml:space="preserve">等采购人指定地点。</w:t>
      </w:r>
      <w:r/>
    </w:p>
    <w:p>
      <w:pPr>
        <w:ind w:firstLine="482"/>
        <w:spacing w:after="0" w:line="480" w:lineRule="exact"/>
        <w:rPr>
          <w:rFonts w:ascii="宋体" w:hAnsi="宋体" w:cs="宋体"/>
          <w:bCs/>
          <w:color w:val="auto"/>
          <w:sz w:val="24"/>
          <w:highlight w:val="none"/>
        </w:rPr>
      </w:pPr>
      <w:r>
        <w:rPr>
          <w:rFonts w:hint="eastAsia" w:ascii="宋体" w:hAnsi="宋体" w:cs="宋体"/>
          <w:bCs/>
          <w:color w:val="auto"/>
          <w:sz w:val="24"/>
          <w:highlight w:val="none"/>
        </w:rPr>
        <w:t xml:space="preserve">4.合同履行期限：</w:t>
      </w:r>
      <w:r>
        <w:rPr>
          <w:rFonts w:hint="eastAsia" w:ascii="宋体" w:hAnsi="宋体" w:cs="宋体"/>
          <w:color w:val="auto"/>
          <w:sz w:val="24"/>
          <w:szCs w:val="20"/>
          <w:highlight w:val="none"/>
        </w:rPr>
        <w:t xml:space="preserve">自2026年11月1日起至2027年10月31日止</w:t>
      </w:r>
      <w:r/>
    </w:p>
    <w:p>
      <w:pPr>
        <w:ind w:firstLine="482"/>
        <w:spacing w:after="0" w:line="480" w:lineRule="exact"/>
        <w:rPr>
          <w:rFonts w:ascii="宋体" w:hAnsi="宋体" w:cs="宋体"/>
          <w:bCs/>
          <w:color w:val="auto"/>
          <w:sz w:val="24"/>
          <w:highlight w:val="none"/>
        </w:rPr>
      </w:pPr>
      <w:r>
        <w:rPr>
          <w:rFonts w:ascii="宋体" w:hAnsi="宋体" w:cs="宋体"/>
          <w:bCs/>
          <w:color w:val="auto"/>
          <w:sz w:val="24"/>
          <w:highlight w:val="none"/>
        </w:rPr>
        <w:t xml:space="preserve">5</w:t>
      </w:r>
      <w:r>
        <w:rPr>
          <w:rFonts w:hint="eastAsia" w:ascii="宋体" w:hAnsi="宋体" w:cs="宋体"/>
          <w:bCs/>
          <w:color w:val="auto"/>
          <w:sz w:val="24"/>
          <w:highlight w:val="none"/>
        </w:rPr>
        <w:t xml:space="preserve">.养护目标：确保养护范围内</w:t>
      </w:r>
      <w:bookmarkStart w:id="120" w:name="OLE_LINK13"/>
      <w:r>
        <w:rPr>
          <w:rFonts w:hint="eastAsia" w:ascii="宋体" w:hAnsi="宋体" w:cs="宋体"/>
          <w:bCs/>
          <w:color w:val="auto"/>
          <w:sz w:val="24"/>
          <w:highlight w:val="none"/>
        </w:rPr>
        <w:t xml:space="preserve">景观设施安好</w:t>
      </w:r>
      <w:bookmarkEnd w:id="120"/>
      <w:r>
        <w:rPr>
          <w:rFonts w:hint="eastAsia" w:ascii="宋体" w:hAnsi="宋体" w:cs="宋体"/>
          <w:bCs/>
          <w:color w:val="auto"/>
          <w:sz w:val="24"/>
          <w:highlight w:val="none"/>
        </w:rPr>
        <w:t xml:space="preserve">，为广大市民出行提供优良的景观效果。</w:t>
      </w:r>
      <w:r/>
    </w:p>
    <w:p>
      <w:pPr>
        <w:ind w:firstLine="482"/>
        <w:spacing w:after="0" w:line="480" w:lineRule="exact"/>
        <w:rPr>
          <w:rFonts w:ascii="宋体" w:hAnsi="宋体" w:cs="宋体"/>
          <w:bCs/>
          <w:color w:val="auto"/>
          <w:sz w:val="24"/>
          <w:highlight w:val="none"/>
        </w:rPr>
      </w:pPr>
      <w:r>
        <w:rPr>
          <w:rFonts w:ascii="宋体" w:hAnsi="宋体" w:cs="宋体"/>
          <w:bCs/>
          <w:color w:val="auto"/>
          <w:sz w:val="24"/>
          <w:highlight w:val="none"/>
        </w:rPr>
        <w:t xml:space="preserve">6</w:t>
      </w:r>
      <w:r>
        <w:rPr>
          <w:rFonts w:hint="eastAsia" w:ascii="宋体" w:hAnsi="宋体" w:cs="宋体"/>
          <w:bCs/>
          <w:color w:val="auto"/>
          <w:sz w:val="24"/>
          <w:highlight w:val="none"/>
        </w:rPr>
        <w:t xml:space="preserve">.采购需求清单（见下表）。</w:t>
      </w:r>
      <w:r/>
    </w:p>
    <w:p>
      <w:pPr>
        <w:jc w:val="center"/>
        <w:spacing w:after="0" w:line="580" w:lineRule="exact"/>
        <w:rPr>
          <w:rFonts w:ascii="黑体" w:hAnsi="黑体" w:eastAsia="黑体" w:cs="宋体"/>
          <w:color w:val="auto"/>
          <w:sz w:val="28"/>
          <w:szCs w:val="28"/>
          <w:highlight w:val="none"/>
          <w:lang w:bidi="ar"/>
        </w:rPr>
      </w:pPr>
      <w:r/>
      <w:bookmarkStart w:id="121" w:name="_Hlk240040783"/>
      <w:r/>
      <w:bookmarkStart w:id="122" w:name="_Hlk240644009"/>
      <w:r>
        <w:rPr>
          <w:rFonts w:hint="eastAsia" w:ascii="宋体" w:hAnsi="宋体" w:eastAsia="宋体" w:cs="宋体"/>
          <w:b/>
          <w:bCs/>
          <w:color w:val="auto"/>
          <w:sz w:val="28"/>
          <w:szCs w:val="28"/>
          <w:highlight w:val="none"/>
          <w:lang w:bidi="ar"/>
        </w:rPr>
        <w:t xml:space="preserve">一、人民广场绿雕</w:t>
      </w:r>
      <w:r/>
    </w:p>
    <w:tbl>
      <w:tblPr>
        <w:tblStyle w:val="975"/>
        <w:tblW w:w="9120" w:type="dxa"/>
        <w:jc w:val="center"/>
        <w:tblLayout w:type="fixed"/>
        <w:tblCellMar>
          <w:left w:w="108" w:type="dxa"/>
          <w:top w:w="0" w:type="dxa"/>
          <w:right w:w="108" w:type="dxa"/>
          <w:bottom w:w="0" w:type="dxa"/>
        </w:tblCellMar>
        <w:tblLook w:val="04A0" w:firstRow="1" w:lastRow="0" w:firstColumn="1" w:lastColumn="0" w:noHBand="0" w:noVBand="1"/>
      </w:tblPr>
      <w:tblGrid>
        <w:gridCol w:w="521"/>
        <w:gridCol w:w="851"/>
        <w:gridCol w:w="63"/>
        <w:gridCol w:w="787"/>
        <w:gridCol w:w="851"/>
        <w:gridCol w:w="709"/>
        <w:gridCol w:w="5338"/>
      </w:tblGrid>
      <w:tr>
        <w:trPr>
          <w:jc w:val="center"/>
          <w:trHeight w:val="650"/>
        </w:trPr>
        <w:tc>
          <w:tcPr>
            <w:shd w:val="clear" w:color="auto" w:fill="auto"/>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after="0" w:line="32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gridSpan w:val="3"/>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0" w:line="32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工作内容</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32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0" w:line="32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5338" w:type="dxa"/>
            <w:vAlign w:val="center"/>
            <w:textDirection w:val="lrTb"/>
            <w:noWrap w:val="false"/>
          </w:tcPr>
          <w:p>
            <w:pPr>
              <w:jc w:val="center"/>
              <w:spacing w:after="0" w:line="32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相关要求</w:t>
            </w:r>
            <w:r/>
          </w:p>
        </w:tc>
      </w:tr>
      <w:tr>
        <w:trPr>
          <w:jc w:val="center"/>
          <w:trHeight w:val="3969"/>
        </w:trPr>
        <w:tc>
          <w:tcPr>
            <w:shd w:val="clear" w:color="auto" w:fill="auto"/>
            <w:tcBorders>
              <w:top w:val="single" w:color="auto" w:sz="4" w:space="0"/>
              <w:left w:val="single" w:color="000000" w:sz="4" w:space="0"/>
              <w:bottom w:val="single" w:color="000000" w:sz="4" w:space="0"/>
              <w:right w:val="single" w:color="000000" w:sz="4" w:space="0"/>
            </w:tcBorders>
            <w:tcW w:w="521" w:type="dxa"/>
            <w:vAlign w:val="center"/>
            <w:textDirection w:val="lrTb"/>
            <w:noWrap w:val="false"/>
          </w:tcPr>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gridSpan w:val="3"/>
            <w:shd w:val="clear" w:color="auto" w:fill="auto"/>
            <w:tcBorders>
              <w:top w:val="single" w:color="auto" w:sz="4" w:space="0"/>
              <w:left w:val="single" w:color="000000" w:sz="4" w:space="0"/>
              <w:bottom w:val="single" w:color="000000" w:sz="4" w:space="0"/>
              <w:right w:val="single" w:color="auto" w:sz="4" w:space="0"/>
            </w:tcBorders>
            <w:tcW w:w="1701" w:type="dxa"/>
            <w:vAlign w:val="center"/>
            <w:textDirection w:val="lrTb"/>
            <w:noWrap w:val="false"/>
          </w:tcPr>
          <w:p>
            <w:pPr>
              <w:jc w:val="center"/>
              <w:spacing w:after="0" w:line="320" w:lineRule="exact"/>
              <w:rPr>
                <w:rFonts w:hint="eastAsia" w:ascii="宋体" w:hAnsi="宋体" w:eastAsia="宋体" w:cs="宋体"/>
                <w:color w:val="auto"/>
                <w:szCs w:val="21"/>
                <w:highlight w:val="none"/>
              </w:rPr>
            </w:pPr>
            <w:r/>
            <w:bookmarkStart w:id="123" w:name="_Hlk240289402"/>
            <w:r>
              <w:rPr>
                <w:rFonts w:hint="eastAsia" w:ascii="宋体" w:hAnsi="宋体" w:eastAsia="宋体" w:cs="宋体"/>
                <w:color w:val="auto"/>
                <w:szCs w:val="21"/>
                <w:highlight w:val="none"/>
              </w:rPr>
              <w:t xml:space="preserve">绿雕主体钢结构加固（国旗加固</w:t>
            </w:r>
            <w:bookmarkEnd w:id="123"/>
            <w:r>
              <w:rPr>
                <w:rFonts w:hint="eastAsia" w:ascii="宋体" w:hAnsi="宋体" w:eastAsia="宋体" w:cs="宋体"/>
                <w:color w:val="auto"/>
                <w:szCs w:val="21"/>
                <w:highlight w:val="none"/>
              </w:rPr>
              <w:t xml:space="preserve">）</w:t>
            </w:r>
            <w:r/>
          </w:p>
        </w:tc>
        <w:tc>
          <w:tcPr>
            <w:shd w:val="clear" w:color="auto" w:fill="auto"/>
            <w:tcBorders>
              <w:top w:val="single" w:color="auto" w:sz="4" w:space="0"/>
              <w:left w:val="single" w:color="auto" w:sz="4" w:space="0"/>
              <w:bottom w:val="single" w:color="000000" w:sz="4" w:space="0"/>
              <w:right w:val="single" w:color="000000" w:sz="4" w:space="0"/>
            </w:tcBorders>
            <w:tcW w:w="851" w:type="dxa"/>
            <w:vAlign w:val="center"/>
            <w:textDirection w:val="lrTb"/>
            <w:noWrap w:val="false"/>
          </w:tcPr>
          <w:p>
            <w:pPr>
              <w:jc w:val="center"/>
              <w:spacing w:after="0"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w:t>
            </w:r>
            <w:r/>
          </w:p>
        </w:tc>
        <w:tc>
          <w:tcPr>
            <w:shd w:val="clear" w:color="auto" w:fill="auto"/>
            <w:tcBorders>
              <w:top w:val="single" w:color="auto" w:sz="4" w:space="0"/>
              <w:left w:val="single" w:color="000000" w:sz="4" w:space="0"/>
              <w:bottom w:val="single" w:color="000000" w:sz="4" w:space="0"/>
              <w:right w:val="single" w:color="000000" w:sz="4" w:space="0"/>
            </w:tcBorders>
            <w:tcW w:w="709" w:type="dxa"/>
            <w:vAlign w:val="center"/>
            <w:textDirection w:val="lrTb"/>
            <w:noWrap w:val="false"/>
          </w:tcPr>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5338" w:type="dxa"/>
            <w:vAlign w:val="center"/>
            <w:textDirection w:val="lrTb"/>
            <w:noWrap w:val="false"/>
          </w:tcPr>
          <w:p>
            <w:pPr>
              <w:spacing w:after="0"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（1）主体钢结构加固：加固主体钢结构（国旗）和小品钢结构（银杏叶），定期除锈防锈，每</w:t>
            </w:r>
            <w:r>
              <w:rPr>
                <w:rFonts w:hint="eastAsia" w:ascii="宋体" w:hAnsi="宋体" w:eastAsia="宋体" w:cs="宋体"/>
                <w:bCs/>
                <w:strike w:val="0"/>
                <w:color w:val="auto"/>
                <w:szCs w:val="21"/>
                <w:highlight w:val="none"/>
                <w:lang w:val="en-US" w:eastAsia="zh-CN"/>
              </w:rPr>
              <w:t xml:space="preserve">月</w:t>
            </w:r>
            <w:r>
              <w:rPr>
                <w:rFonts w:hint="eastAsia" w:ascii="宋体" w:hAnsi="宋体" w:eastAsia="宋体" w:cs="宋体"/>
                <w:bCs/>
                <w:color w:val="auto"/>
                <w:szCs w:val="21"/>
                <w:highlight w:val="none"/>
              </w:rPr>
              <w:t xml:space="preserve">全面检查钢结构焊缝、节点及基层漆面，发现锈蚀立即手工或机械打磨除锈至金属本色，并涂刷环氧富锌底漆+丙烯酸聚氨酯面漆。</w:t>
            </w:r>
            <w:r/>
          </w:p>
          <w:p>
            <w:pPr>
              <w:spacing w:after="0"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（2）整体出新：每年至少1次对</w:t>
            </w:r>
            <w:r>
              <w:rPr>
                <w:rFonts w:hint="eastAsia" w:ascii="宋体" w:hAnsi="宋体" w:eastAsia="宋体" w:cs="宋体"/>
                <w:color w:val="auto"/>
                <w:szCs w:val="21"/>
                <w:highlight w:val="none"/>
              </w:rPr>
              <w:t xml:space="preserve">国旗正、反两面整体油漆出新。</w:t>
            </w:r>
            <w:r>
              <w:rPr>
                <w:rFonts w:hint="eastAsia" w:ascii="宋体" w:hAnsi="宋体" w:eastAsia="宋体" w:cs="宋体"/>
                <w:bCs/>
                <w:color w:val="auto"/>
                <w:szCs w:val="21"/>
                <w:highlight w:val="none"/>
              </w:rPr>
              <w:t xml:space="preserve">观感不佳、变形、褪色或剥落超20%的区域需整体重新搭建、涂装，形态、颜色保持与原设计一致。</w:t>
            </w:r>
            <w:r/>
          </w:p>
          <w:p>
            <w:pP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（3）五角星更换：每年至少1次按原尺寸、原标准、原材质更换五角星，确保颜色和尺寸比例符合国旗规范。</w:t>
            </w:r>
            <w:r/>
          </w:p>
          <w:p>
            <w:pPr>
              <w:spacing w:after="0" w:line="320" w:lineRule="exac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（4）结构安全性防护：每月</w:t>
            </w:r>
            <w:r>
              <w:rPr>
                <w:rFonts w:hint="eastAsia" w:ascii="宋体" w:hAnsi="宋体" w:cs="宋体"/>
                <w:bCs/>
                <w:color w:val="auto"/>
                <w:szCs w:val="21"/>
                <w:highlight w:val="none"/>
                <w:lang w:val="en-US" w:eastAsia="zh-CN"/>
              </w:rPr>
              <w:t xml:space="preserve">应邀请相关专业人员</w:t>
            </w:r>
            <w:r>
              <w:rPr>
                <w:rFonts w:hint="eastAsia" w:ascii="宋体" w:hAnsi="宋体" w:eastAsia="宋体" w:cs="宋体"/>
                <w:bCs/>
                <w:color w:val="auto"/>
                <w:szCs w:val="21"/>
                <w:highlight w:val="none"/>
              </w:rPr>
              <w:t xml:space="preserve">检查</w:t>
            </w:r>
            <w:r>
              <w:rPr>
                <w:rFonts w:hint="eastAsia" w:ascii="宋体" w:hAnsi="宋体" w:cs="宋体"/>
                <w:bCs/>
                <w:color w:val="auto"/>
                <w:szCs w:val="21"/>
                <w:highlight w:val="none"/>
                <w:lang w:val="en-US" w:eastAsia="zh-CN"/>
              </w:rPr>
              <w:t xml:space="preserve">主体结构</w:t>
            </w:r>
            <w:r>
              <w:rPr>
                <w:rFonts w:hint="eastAsia" w:ascii="宋体" w:hAnsi="宋体" w:eastAsia="宋体" w:cs="宋体"/>
                <w:bCs/>
                <w:color w:val="auto"/>
                <w:szCs w:val="21"/>
                <w:highlight w:val="none"/>
              </w:rPr>
              <w:t xml:space="preserve">变形、松动情况</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确保主体结构无安全隐患</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检查结论须有相关专家签字确认。</w:t>
            </w:r>
            <w:r/>
          </w:p>
        </w:tc>
      </w:tr>
      <w:tr>
        <w:trPr>
          <w:jc w:val="center"/>
          <w:trHeight w:val="850"/>
        </w:trPr>
        <w:tc>
          <w:tcPr>
            <w:shd w:val="clear" w:color="auto" w:fill="auto"/>
            <w:tcBorders>
              <w:top w:val="single" w:color="auto" w:sz="4" w:space="0"/>
              <w:left w:val="single" w:color="000000" w:sz="4" w:space="0"/>
              <w:bottom w:val="single" w:color="000000" w:sz="4" w:space="0"/>
              <w:right w:val="single" w:color="000000" w:sz="4" w:space="0"/>
            </w:tcBorders>
            <w:tcW w:w="521" w:type="dxa"/>
            <w:vAlign w:val="center"/>
            <w:textDirection w:val="lrTb"/>
            <w:noWrap w:val="false"/>
          </w:tcPr>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gridSpan w:val="3"/>
            <w:shd w:val="clear" w:color="auto" w:fill="auto"/>
            <w:tcBorders>
              <w:top w:val="single" w:color="auto" w:sz="4" w:space="0"/>
              <w:left w:val="single" w:color="000000" w:sz="4" w:space="0"/>
              <w:bottom w:val="single" w:color="000000" w:sz="4" w:space="0"/>
              <w:right w:val="single" w:color="auto" w:sz="4" w:space="0"/>
            </w:tcBorders>
            <w:tcW w:w="1701" w:type="dxa"/>
            <w:vAlign w:val="center"/>
            <w:textDirection w:val="lrTb"/>
            <w:noWrap w:val="false"/>
          </w:tcPr>
          <w:p>
            <w:pPr>
              <w:jc w:val="center"/>
              <w:spacing w:after="0" w:line="320" w:lineRule="exact"/>
              <w:rPr>
                <w:rFonts w:hint="eastAsia" w:ascii="宋体" w:hAnsi="宋体" w:eastAsia="宋体" w:cs="宋体"/>
                <w:color w:val="auto"/>
                <w:highlight w:val="none"/>
              </w:rPr>
            </w:pPr>
            <w:r/>
            <w:bookmarkStart w:id="124" w:name="_Hlk240289452"/>
            <w:r>
              <w:rPr>
                <w:rFonts w:hint="eastAsia" w:ascii="宋体" w:hAnsi="宋体" w:eastAsia="宋体" w:cs="宋体"/>
                <w:color w:val="auto"/>
                <w:highlight w:val="none"/>
              </w:rPr>
              <w:t xml:space="preserve">绿雕表面仿真</w:t>
            </w:r>
            <w:r/>
          </w:p>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绿植更换</w:t>
            </w:r>
            <w:bookmarkEnd w:id="124"/>
            <w:r/>
            <w:r/>
          </w:p>
        </w:tc>
        <w:tc>
          <w:tcPr>
            <w:shd w:val="clear" w:color="auto" w:fill="auto"/>
            <w:tcBorders>
              <w:top w:val="single" w:color="auto" w:sz="4" w:space="0"/>
              <w:left w:val="single" w:color="auto" w:sz="4" w:space="0"/>
              <w:bottom w:val="single" w:color="000000" w:sz="4" w:space="0"/>
              <w:right w:val="single" w:color="000000" w:sz="4" w:space="0"/>
            </w:tcBorders>
            <w:tcW w:w="851" w:type="dxa"/>
            <w:vAlign w:val="center"/>
            <w:textDirection w:val="lrTb"/>
            <w:noWrap w:val="false"/>
          </w:tcPr>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m²</w:t>
            </w:r>
            <w:r/>
          </w:p>
        </w:tc>
        <w:tc>
          <w:tcPr>
            <w:shd w:val="clear" w:color="auto" w:fill="auto"/>
            <w:tcBorders>
              <w:top w:val="single" w:color="auto" w:sz="4" w:space="0"/>
              <w:left w:val="single" w:color="000000" w:sz="4" w:space="0"/>
              <w:bottom w:val="single" w:color="000000" w:sz="4" w:space="0"/>
              <w:right w:val="single" w:color="000000" w:sz="4" w:space="0"/>
            </w:tcBorders>
            <w:tcW w:w="709" w:type="dxa"/>
            <w:vAlign w:val="center"/>
            <w:textDirection w:val="lrTb"/>
            <w:noWrap w:val="false"/>
          </w:tcPr>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370</w:t>
            </w:r>
            <w:r/>
          </w:p>
        </w:tc>
        <w:tc>
          <w:tcPr>
            <w:shd w:val="clear" w:color="auto" w:fill="auto"/>
            <w:tcBorders>
              <w:top w:val="single" w:color="auto" w:sz="4" w:space="0"/>
              <w:left w:val="single" w:color="000000" w:sz="4" w:space="0"/>
              <w:bottom w:val="single" w:color="000000" w:sz="4" w:space="0"/>
              <w:right w:val="single" w:color="000000" w:sz="4" w:space="0"/>
            </w:tcBorders>
            <w:tcW w:w="5338" w:type="dxa"/>
            <w:vAlign w:val="center"/>
            <w:textDirection w:val="lrTb"/>
            <w:noWrap w:val="false"/>
          </w:tcPr>
          <w:p>
            <w:pPr>
              <w:ind w:firstLine="105"/>
              <w:spacing w:after="0" w:line="32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合同期内，按照采购人要求对绿雕和小品表面仿真绿植更换至少1次，并做好日常保养和维修。</w:t>
            </w:r>
            <w:r>
              <w:rPr>
                <w:rFonts w:hint="eastAsia" w:ascii="宋体" w:hAnsi="宋体" w:eastAsia="宋体" w:cs="宋体"/>
                <w:color w:val="auto"/>
                <w:highlight w:val="none"/>
                <w:lang w:val="en-US" w:eastAsia="zh-CN"/>
              </w:rPr>
              <w:t xml:space="preserve">发现损坏或缺失的应当2日内维修到位。</w:t>
            </w:r>
            <w:r/>
          </w:p>
        </w:tc>
      </w:tr>
      <w:tr>
        <w:trPr>
          <w:jc w:val="center"/>
          <w:trHeight w:val="2479"/>
        </w:trPr>
        <w:tc>
          <w:tcPr>
            <w:shd w:val="clear" w:color="auto" w:fill="auto"/>
            <w:tcBorders>
              <w:top w:val="single" w:color="auto" w:sz="4" w:space="0"/>
              <w:left w:val="single" w:color="000000" w:sz="4" w:space="0"/>
              <w:right w:val="single" w:color="000000" w:sz="4" w:space="0"/>
            </w:tcBorders>
            <w:tcW w:w="521" w:type="dxa"/>
            <w:vAlign w:val="center"/>
            <w:vMerge w:val="restart"/>
            <w:textDirection w:val="lrTb"/>
            <w:noWrap w:val="false"/>
          </w:tcPr>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shd w:val="clear" w:color="auto" w:fill="auto"/>
            <w:tcBorders>
              <w:top w:val="single" w:color="auto" w:sz="4" w:space="0"/>
              <w:left w:val="single" w:color="000000" w:sz="4" w:space="0"/>
              <w:right w:val="single" w:color="auto" w:sz="4" w:space="0"/>
            </w:tcBorders>
            <w:tcW w:w="851" w:type="dxa"/>
            <w:vAlign w:val="center"/>
            <w:vMerge w:val="restart"/>
            <w:textDirection w:val="lrTb"/>
            <w:noWrap w:val="false"/>
          </w:tcPr>
          <w:p>
            <w:pPr>
              <w:jc w:val="center"/>
              <w:spacing w:after="0" w:line="320" w:lineRule="exact"/>
              <w:rPr>
                <w:rFonts w:hint="eastAsia" w:ascii="宋体" w:hAnsi="宋体" w:eastAsia="宋体" w:cs="宋体"/>
                <w:color w:val="auto"/>
                <w:szCs w:val="21"/>
                <w:highlight w:val="none"/>
              </w:rPr>
            </w:pPr>
            <w:r/>
            <w:bookmarkStart w:id="125" w:name="_Hlk240289472"/>
            <w:r>
              <w:rPr>
                <w:rFonts w:hint="eastAsia" w:ascii="宋体" w:hAnsi="宋体" w:eastAsia="宋体" w:cs="宋体"/>
                <w:color w:val="auto"/>
                <w:szCs w:val="21"/>
                <w:highlight w:val="none"/>
              </w:rPr>
              <w:t xml:space="preserve">地面花</w:t>
            </w:r>
            <w:r/>
          </w:p>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镜养护</w:t>
            </w:r>
            <w:bookmarkEnd w:id="125"/>
            <w:r/>
            <w:r/>
          </w:p>
        </w:tc>
        <w:tc>
          <w:tcPr>
            <w:gridSpan w:val="2"/>
            <w:shd w:val="clear" w:color="auto" w:fill="auto"/>
            <w:tcBorders>
              <w:top w:val="single" w:color="auto" w:sz="4" w:space="0"/>
              <w:left w:val="single" w:color="000000" w:sz="4" w:space="0"/>
              <w:bottom w:val="single" w:color="auto" w:sz="4" w:space="0"/>
              <w:right w:val="single" w:color="auto" w:sz="4" w:space="0"/>
            </w:tcBorders>
            <w:tcW w:w="850" w:type="dxa"/>
            <w:vAlign w:val="center"/>
            <w:textDirection w:val="lrTb"/>
            <w:noWrap w:val="false"/>
          </w:tcPr>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草花</w:t>
            </w:r>
            <w:r/>
          </w:p>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更换</w:t>
            </w:r>
            <w:r/>
          </w:p>
        </w:tc>
        <w:tc>
          <w:tcPr>
            <w:shd w:val="clear" w:color="auto" w:fill="auto"/>
            <w:tcBorders>
              <w:top w:val="single" w:color="auto" w:sz="4" w:space="0"/>
              <w:left w:val="single" w:color="auto" w:sz="4" w:space="0"/>
              <w:bottom w:val="single" w:color="auto" w:sz="4" w:space="0"/>
              <w:right w:val="single" w:color="000000" w:sz="4" w:space="0"/>
            </w:tcBorders>
            <w:tcW w:w="851" w:type="dxa"/>
            <w:vAlign w:val="center"/>
            <w:textDirection w:val="lrTb"/>
            <w:noWrap w:val="false"/>
          </w:tcPr>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m²</w:t>
            </w:r>
            <w:r/>
          </w:p>
        </w:tc>
        <w:tc>
          <w:tcPr>
            <w:shd w:val="clear" w:color="auto" w:fill="auto"/>
            <w:tcBorders>
              <w:top w:val="single" w:color="auto" w:sz="4" w:space="0"/>
              <w:left w:val="single" w:color="000000" w:sz="4" w:space="0"/>
              <w:bottom w:val="single" w:color="auto" w:sz="4" w:space="0"/>
              <w:right w:val="single" w:color="000000" w:sz="4" w:space="0"/>
            </w:tcBorders>
            <w:tcW w:w="709" w:type="dxa"/>
            <w:vAlign w:val="center"/>
            <w:textDirection w:val="lrTb"/>
            <w:noWrap w:val="false"/>
          </w:tcPr>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360</w:t>
            </w:r>
            <w:r/>
          </w:p>
        </w:tc>
        <w:tc>
          <w:tcPr>
            <w:shd w:val="clear" w:color="auto" w:fill="auto"/>
            <w:tcBorders>
              <w:top w:val="single" w:color="auto" w:sz="4" w:space="0"/>
              <w:left w:val="single" w:color="000000" w:sz="4" w:space="0"/>
              <w:right w:val="single" w:color="000000" w:sz="4" w:space="0"/>
            </w:tcBorders>
            <w:tcW w:w="5338" w:type="dxa"/>
            <w:vAlign w:val="center"/>
            <w:vMerge w:val="restart"/>
            <w:textDirection w:val="lrTb"/>
            <w:noWrap w:val="false"/>
          </w:tcPr>
          <w:p>
            <w:pPr>
              <w:ind w:firstLine="105"/>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（1）全年更换时令草花至少4次，所有时令草花盆径12cm以上，至少64盆/平方米，须满铺，脱盆栽植。绿雕整体换草至少2次。</w:t>
            </w:r>
            <w:r/>
          </w:p>
          <w:p>
            <w:pPr>
              <w:ind w:firstLine="105"/>
              <w:spacing w:after="0"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（2）植物品质：选用高品质容器苗或地栽健壮苗，无病虫害。景观节点需有造型植物或彩叶针叶树作为焦点。</w:t>
            </w:r>
            <w:r/>
          </w:p>
          <w:p>
            <w:pPr>
              <w:ind w:firstLine="210"/>
              <w:spacing w:after="0"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（3）层次与季相：形成背景层（小乔木/灌木）、 中层（中高花卉/观赏草）、前景层（低矮花卉/地被） 三个层次。确保四季有花。</w:t>
            </w:r>
            <w:r/>
          </w:p>
          <w:p>
            <w:pPr>
              <w:ind w:firstLine="210"/>
              <w:spacing w:after="0"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（4）宿根植物比例：多年生宿根植物（如大花飞燕草、火炬花、矾根等）占比不低于50%，保持群落稳定。</w:t>
            </w:r>
            <w:r/>
          </w:p>
          <w:p>
            <w:pPr>
              <w:ind w:firstLine="210"/>
              <w:spacing w:after="0"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（5）精细化养护：及时清理残花枯叶，根据季节控制水肥，定期梳理植物间距避免过密。主要花坛边缘需有装饰围边或收边植物。裸露地表用树皮、松鳞、火山石等覆盖物处理。</w:t>
            </w:r>
            <w:r/>
          </w:p>
          <w:p>
            <w:pPr>
              <w:ind w:firstLine="210"/>
              <w:spacing w:after="0" w:line="320" w:lineRule="exac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（6）植株覆盖率大于80%，不得出现裸土。</w:t>
            </w:r>
            <w:r/>
          </w:p>
        </w:tc>
      </w:tr>
      <w:tr>
        <w:trPr>
          <w:jc w:val="center"/>
          <w:trHeight w:val="2630"/>
        </w:trPr>
        <w:tc>
          <w:tcPr>
            <w:shd w:val="clear" w:color="auto" w:fill="auto"/>
            <w:tcBorders>
              <w:left w:val="single" w:color="000000" w:sz="4" w:space="0"/>
              <w:bottom w:val="single" w:color="000000" w:sz="4" w:space="0"/>
              <w:right w:val="single" w:color="000000" w:sz="4" w:space="0"/>
            </w:tcBorders>
            <w:tcW w:w="521" w:type="dxa"/>
            <w:vAlign w:val="center"/>
            <w:vMerge w:val="continue"/>
            <w:textDirection w:val="lrTb"/>
            <w:noWrap w:val="false"/>
          </w:tcPr>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left w:val="single" w:color="000000" w:sz="4" w:space="0"/>
              <w:bottom w:val="single" w:color="000000" w:sz="4" w:space="0"/>
              <w:right w:val="single" w:color="auto" w:sz="4" w:space="0"/>
            </w:tcBorders>
            <w:tcW w:w="851" w:type="dxa"/>
            <w:vAlign w:val="center"/>
            <w:vMerge w:val="continue"/>
            <w:textDirection w:val="lrTb"/>
            <w:noWrap w:val="false"/>
          </w:tcPr>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shd w:val="clear" w:color="auto" w:fill="auto"/>
            <w:tcBorders>
              <w:top w:val="single" w:color="auto" w:sz="4" w:space="0"/>
              <w:left w:val="single" w:color="000000" w:sz="4" w:space="0"/>
              <w:bottom w:val="single" w:color="000000" w:sz="4" w:space="0"/>
              <w:right w:val="single" w:color="auto" w:sz="4" w:space="0"/>
            </w:tcBorders>
            <w:tcW w:w="850" w:type="dxa"/>
            <w:vAlign w:val="center"/>
            <w:textDirection w:val="lrTb"/>
            <w:noWrap w:val="false"/>
          </w:tcPr>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绿雕</w:t>
            </w:r>
            <w:r/>
          </w:p>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换草</w:t>
            </w:r>
            <w:r/>
          </w:p>
        </w:tc>
        <w:tc>
          <w:tcPr>
            <w:shd w:val="clear" w:color="auto" w:fill="auto"/>
            <w:tcBorders>
              <w:top w:val="single" w:color="auto" w:sz="4" w:space="0"/>
              <w:left w:val="single" w:color="auto" w:sz="4" w:space="0"/>
              <w:bottom w:val="single" w:color="000000" w:sz="4" w:space="0"/>
              <w:right w:val="single" w:color="000000" w:sz="4" w:space="0"/>
            </w:tcBorders>
            <w:tcW w:w="851" w:type="dxa"/>
            <w:vAlign w:val="center"/>
            <w:textDirection w:val="lrTb"/>
            <w:noWrap w:val="false"/>
          </w:tcPr>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m²</w:t>
            </w:r>
            <w:r/>
          </w:p>
        </w:tc>
        <w:tc>
          <w:tcPr>
            <w:shd w:val="clear" w:color="auto" w:fill="auto"/>
            <w:tcBorders>
              <w:top w:val="single" w:color="auto" w:sz="4" w:space="0"/>
              <w:left w:val="single" w:color="000000" w:sz="4" w:space="0"/>
              <w:bottom w:val="single" w:color="000000" w:sz="4" w:space="0"/>
              <w:right w:val="single" w:color="000000" w:sz="4" w:space="0"/>
            </w:tcBorders>
            <w:tcW w:w="709" w:type="dxa"/>
            <w:vAlign w:val="center"/>
            <w:textDirection w:val="lrTb"/>
            <w:noWrap w:val="false"/>
          </w:tcPr>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190</w:t>
            </w:r>
            <w:r/>
          </w:p>
        </w:tc>
        <w:tc>
          <w:tcPr>
            <w:shd w:val="clear" w:color="auto" w:fill="auto"/>
            <w:tcBorders>
              <w:left w:val="single" w:color="000000" w:sz="4" w:space="0"/>
              <w:bottom w:val="single" w:color="000000" w:sz="4" w:space="0"/>
              <w:right w:val="single" w:color="000000" w:sz="4" w:space="0"/>
            </w:tcBorders>
            <w:tcW w:w="5338" w:type="dxa"/>
            <w:vAlign w:val="center"/>
            <w:vMerge w:val="continue"/>
            <w:textDirection w:val="lrTb"/>
            <w:noWrap w:val="false"/>
          </w:tcPr>
          <w:p>
            <w:pPr>
              <w:ind w:firstLine="105"/>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1118"/>
        </w:trPr>
        <w:tc>
          <w:tcPr>
            <w:shd w:val="clear" w:color="auto" w:fill="auto"/>
            <w:tcBorders>
              <w:top w:val="single" w:color="000000" w:sz="4" w:space="0"/>
              <w:left w:val="single" w:color="000000" w:sz="4" w:space="0"/>
              <w:bottom w:val="single" w:color="auto" w:sz="4" w:space="0"/>
              <w:right w:val="single" w:color="000000" w:sz="4" w:space="0"/>
            </w:tcBorders>
            <w:tcW w:w="52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gridSpan w:val="3"/>
            <w:shd w:val="clear" w:color="auto" w:fill="auto"/>
            <w:tcBorders>
              <w:top w:val="single" w:color="000000" w:sz="4" w:space="0"/>
              <w:left w:val="single" w:color="000000" w:sz="4" w:space="0"/>
              <w:bottom w:val="single" w:color="auto" w:sz="4" w:space="0"/>
              <w:right w:val="single" w:color="auto" w:sz="4" w:space="0"/>
            </w:tcBorders>
            <w:tcW w:w="170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亮化维护</w:t>
            </w:r>
            <w:r/>
          </w:p>
        </w:tc>
        <w:tc>
          <w:tcPr>
            <w:shd w:val="clear" w:color="auto" w:fill="auto"/>
            <w:tcBorders>
              <w:top w:val="single" w:color="000000" w:sz="4" w:space="0"/>
              <w:left w:val="single" w:color="auto" w:sz="4" w:space="0"/>
              <w:bottom w:val="single" w:color="auto" w:sz="4" w:space="0"/>
              <w:right w:val="single" w:color="000000" w:sz="4" w:space="0"/>
            </w:tcBorders>
            <w:tcW w:w="85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项</w:t>
            </w:r>
            <w:r/>
          </w:p>
        </w:tc>
        <w:tc>
          <w:tcPr>
            <w:shd w:val="clear" w:color="auto" w:fill="auto"/>
            <w:tcBorders>
              <w:top w:val="single" w:color="000000" w:sz="4" w:space="0"/>
              <w:left w:val="single" w:color="000000" w:sz="4" w:space="0"/>
              <w:bottom w:val="single" w:color="auto" w:sz="4" w:space="0"/>
              <w:right w:val="single" w:color="000000" w:sz="4" w:space="0"/>
            </w:tcBorders>
            <w:tcW w:w="709"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5338" w:type="dxa"/>
            <w:vAlign w:val="center"/>
            <w:textDirection w:val="lrTb"/>
            <w:noWrap w:val="false"/>
          </w:tcPr>
          <w:p>
            <w:pPr>
              <w:ind w:firstLine="210"/>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所有的亮化及灯带应按环保节能要求重新更换，并做好日常维护。凡有灯带、电缆线损坏、缺失等，须第一时间维修、更换。包括上述项目范围内绿雕、绿柱、绿墙等。</w:t>
            </w:r>
            <w:r/>
          </w:p>
        </w:tc>
      </w:tr>
      <w:tr>
        <w:trPr>
          <w:jc w:val="center"/>
          <w:trHeight w:val="761"/>
        </w:trPr>
        <w:tc>
          <w:tcPr>
            <w:shd w:val="clear" w:color="auto" w:fill="auto"/>
            <w:tcBorders>
              <w:top w:val="single" w:color="000000" w:sz="4" w:space="0"/>
              <w:left w:val="single" w:color="000000" w:sz="4" w:space="0"/>
              <w:bottom w:val="single" w:color="auto" w:sz="4" w:space="0"/>
              <w:right w:val="single" w:color="000000" w:sz="4" w:space="0"/>
            </w:tcBorders>
            <w:tcW w:w="52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gridSpan w:val="3"/>
            <w:shd w:val="clear" w:color="auto" w:fill="auto"/>
            <w:tcBorders>
              <w:top w:val="single" w:color="000000" w:sz="4" w:space="0"/>
              <w:left w:val="single" w:color="000000" w:sz="4" w:space="0"/>
              <w:bottom w:val="single" w:color="auto" w:sz="4" w:space="0"/>
              <w:right w:val="single" w:color="auto" w:sz="4" w:space="0"/>
            </w:tcBorders>
            <w:tcW w:w="170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日常养护</w:t>
            </w:r>
            <w:r/>
          </w:p>
        </w:tc>
        <w:tc>
          <w:tcPr>
            <w:shd w:val="clear" w:color="auto" w:fill="auto"/>
            <w:tcBorders>
              <w:top w:val="single" w:color="000000" w:sz="4" w:space="0"/>
              <w:left w:val="single" w:color="auto" w:sz="4" w:space="0"/>
              <w:bottom w:val="single" w:color="auto" w:sz="4" w:space="0"/>
              <w:right w:val="single" w:color="000000" w:sz="4" w:space="0"/>
            </w:tcBorders>
            <w:tcW w:w="85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709"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5338" w:type="dxa"/>
            <w:vAlign w:val="center"/>
            <w:textDirection w:val="lrTb"/>
            <w:noWrap w:val="false"/>
          </w:tcPr>
          <w:p>
            <w:pP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（1）150平方米左右草坪的养护和复播。</w:t>
            </w:r>
            <w:r/>
          </w:p>
          <w:p>
            <w:pP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（2）绿雕巡查、浇水、修剪、补植、施肥、加固、保洁等；其他绿化及景石、旱溪园路等景观小品的养护、维护。</w:t>
            </w:r>
            <w:r/>
          </w:p>
          <w:p>
            <w:pP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（3）按照采购人要求，全年更换绿雕小品上的宣传标语至少4次。</w:t>
            </w:r>
            <w:r/>
          </w:p>
          <w:p>
            <w:pP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（4）其他绿化及景观小品的养护、维护。</w:t>
            </w:r>
            <w:bookmarkEnd w:id="121"/>
            <w:r/>
          </w:p>
        </w:tc>
      </w:tr>
      <w:tr>
        <w:trPr>
          <w:jc w:val="center"/>
          <w:trHeight w:val="541"/>
        </w:trPr>
        <w:tc>
          <w:tcPr>
            <w:gridSpan w:val="7"/>
            <w:shd w:val="clear" w:color="auto" w:fill="auto"/>
            <w:tcBorders>
              <w:top w:val="single" w:color="auto" w:sz="4" w:space="0"/>
              <w:bottom w:val="single" w:color="auto" w:sz="4" w:space="0"/>
            </w:tcBorders>
            <w:tcW w:w="9120" w:type="dxa"/>
            <w:vAlign w:val="center"/>
            <w:textDirection w:val="lrTb"/>
            <w:noWrap w:val="false"/>
          </w:tcPr>
          <w:p>
            <w:pPr>
              <w:jc w:val="center"/>
              <w:spacing w:after="0" w:line="500" w:lineRule="exact"/>
              <w:rPr>
                <w:rFonts w:hint="eastAsia" w:ascii="宋体" w:hAnsi="宋体" w:eastAsia="宋体" w:cs="宋体"/>
                <w:b/>
                <w:bCs/>
                <w:color w:val="auto"/>
                <w:sz w:val="28"/>
                <w:szCs w:val="28"/>
                <w:highlight w:val="none"/>
              </w:rPr>
            </w:pPr>
            <w:r/>
            <w:bookmarkStart w:id="126" w:name="_Hlk240040977"/>
            <w:r>
              <w:rPr>
                <w:rFonts w:hint="eastAsia" w:ascii="宋体" w:hAnsi="宋体" w:eastAsia="宋体" w:cs="宋体"/>
                <w:b/>
                <w:bCs/>
                <w:color w:val="auto"/>
                <w:sz w:val="28"/>
                <w:szCs w:val="28"/>
                <w:highlight w:val="none"/>
              </w:rPr>
              <w:t xml:space="preserve">二、天德湖南门绿雕</w:t>
            </w:r>
            <w:r/>
          </w:p>
          <w:p>
            <w:pPr>
              <w:jc w:val="center"/>
              <w:spacing w:after="0" w:line="50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（含永定路高架立交绿柱、广电局南门绿墙和人民广场东支路东侧绿墙等）</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after="0" w:line="32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gridSpan w:val="3"/>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0" w:line="32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工作内容</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32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0" w:line="32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数量</w:t>
            </w:r>
            <w:r/>
          </w:p>
        </w:tc>
        <w:tc>
          <w:tcPr>
            <w:shd w:val="clear" w:color="auto" w:fill="auto"/>
            <w:tcBorders>
              <w:top w:val="single" w:color="auto" w:sz="4" w:space="0"/>
              <w:left w:val="single" w:color="auto" w:sz="4" w:space="0"/>
              <w:bottom w:val="single" w:color="auto" w:sz="4" w:space="0"/>
              <w:right w:val="single" w:color="000000" w:sz="4" w:space="0"/>
            </w:tcBorders>
            <w:tcW w:w="5338" w:type="dxa"/>
            <w:vAlign w:val="center"/>
            <w:textDirection w:val="lrTb"/>
            <w:noWrap w:val="false"/>
          </w:tcPr>
          <w:p>
            <w:pPr>
              <w:jc w:val="center"/>
              <w:spacing w:after="0" w:line="32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相关要求</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gridSpan w:val="3"/>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绿雕主体钢结构加固</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000000" w:sz="4" w:space="0"/>
            </w:tcBorders>
            <w:tcW w:w="5338" w:type="dxa"/>
            <w:vAlign w:val="center"/>
            <w:textDirection w:val="lrTb"/>
            <w:noWrap w:val="false"/>
          </w:tcPr>
          <w:p>
            <w:pPr>
              <w:keepLines w:val="0"/>
              <w:keepNext w:val="0"/>
              <w:pageBreakBefore w:val="0"/>
              <w:spacing w:after="0" w:line="280" w:lineRule="exact"/>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（1）主体钢结构加固：加固主体钢结构（国旗）和小品钢结构（银杏叶），定期除锈防锈，每</w:t>
            </w:r>
            <w:r>
              <w:rPr>
                <w:rFonts w:hint="eastAsia" w:ascii="宋体" w:hAnsi="宋体" w:eastAsia="宋体" w:cs="宋体"/>
                <w:bCs/>
                <w:strike w:val="0"/>
                <w:color w:val="auto"/>
                <w:szCs w:val="21"/>
                <w:highlight w:val="none"/>
                <w:lang w:val="en-US" w:eastAsia="zh-CN"/>
              </w:rPr>
              <w:t xml:space="preserve">月</w:t>
            </w:r>
            <w:r>
              <w:rPr>
                <w:rFonts w:hint="eastAsia" w:ascii="宋体" w:hAnsi="宋体" w:eastAsia="宋体" w:cs="宋体"/>
                <w:bCs/>
                <w:color w:val="auto"/>
                <w:szCs w:val="21"/>
                <w:highlight w:val="none"/>
              </w:rPr>
              <w:t xml:space="preserve">全面检查钢结构焊缝、节点及基层漆面，发现锈蚀立即手工或机械打磨除锈至金属本色，并涂刷环氧富锌底漆+丙烯酸聚氨酯面漆。</w:t>
            </w:r>
            <w:r/>
          </w:p>
          <w:p>
            <w:pPr>
              <w:keepLines w:val="0"/>
              <w:keepNext w:val="0"/>
              <w:pageBreakBefore w:val="0"/>
              <w:spacing w:after="0" w:line="280" w:lineRule="exact"/>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（2）整体出新：每年至少1次对</w:t>
            </w:r>
            <w:r>
              <w:rPr>
                <w:rFonts w:hint="eastAsia" w:ascii="宋体" w:hAnsi="宋体" w:eastAsia="宋体" w:cs="宋体"/>
                <w:color w:val="auto"/>
                <w:szCs w:val="21"/>
                <w:highlight w:val="none"/>
              </w:rPr>
              <w:t xml:space="preserve">国旗正、反两面整体油漆出新。</w:t>
            </w:r>
            <w:r>
              <w:rPr>
                <w:rFonts w:hint="eastAsia" w:ascii="宋体" w:hAnsi="宋体" w:eastAsia="宋体" w:cs="宋体"/>
                <w:bCs/>
                <w:color w:val="auto"/>
                <w:szCs w:val="21"/>
                <w:highlight w:val="none"/>
              </w:rPr>
              <w:t xml:space="preserve">观感不佳、变形、褪色或剥落超20%的区域需整体重新搭建、涂装，形态、颜色保持与原设计一致。</w:t>
            </w:r>
            <w:r/>
          </w:p>
          <w:p>
            <w:pPr>
              <w:keepLines w:val="0"/>
              <w:keepNext w:val="0"/>
              <w:pageBreakBefore w:val="0"/>
              <w:spacing w:after="0" w:line="280" w:lineRule="exact"/>
              <w:widowControl w:val="off"/>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（3）</w:t>
            </w:r>
            <w:r>
              <w:rPr>
                <w:rFonts w:hint="eastAsia" w:ascii="宋体" w:hAnsi="宋体" w:eastAsia="宋体" w:cs="宋体"/>
                <w:bCs/>
                <w:color w:val="auto"/>
                <w:szCs w:val="21"/>
                <w:highlight w:val="none"/>
              </w:rPr>
              <w:t xml:space="preserve">结构安全性防护：每月</w:t>
            </w:r>
            <w:r>
              <w:rPr>
                <w:rFonts w:hint="eastAsia" w:ascii="宋体" w:hAnsi="宋体" w:cs="宋体"/>
                <w:bCs/>
                <w:color w:val="auto"/>
                <w:szCs w:val="21"/>
                <w:highlight w:val="none"/>
                <w:lang w:val="en-US" w:eastAsia="zh-CN"/>
              </w:rPr>
              <w:t xml:space="preserve">应邀请相关专业人员</w:t>
            </w:r>
            <w:r>
              <w:rPr>
                <w:rFonts w:hint="eastAsia" w:ascii="宋体" w:hAnsi="宋体" w:eastAsia="宋体" w:cs="宋体"/>
                <w:bCs/>
                <w:color w:val="auto"/>
                <w:szCs w:val="21"/>
                <w:highlight w:val="none"/>
              </w:rPr>
              <w:t xml:space="preserve">检查</w:t>
            </w:r>
            <w:r>
              <w:rPr>
                <w:rFonts w:hint="eastAsia" w:ascii="宋体" w:hAnsi="宋体" w:cs="宋体"/>
                <w:bCs/>
                <w:color w:val="auto"/>
                <w:szCs w:val="21"/>
                <w:highlight w:val="none"/>
                <w:lang w:val="en-US" w:eastAsia="zh-CN"/>
              </w:rPr>
              <w:t xml:space="preserve">主体结构</w:t>
            </w:r>
            <w:r>
              <w:rPr>
                <w:rFonts w:hint="eastAsia" w:ascii="宋体" w:hAnsi="宋体" w:eastAsia="宋体" w:cs="宋体"/>
                <w:bCs/>
                <w:color w:val="auto"/>
                <w:szCs w:val="21"/>
                <w:highlight w:val="none"/>
              </w:rPr>
              <w:t xml:space="preserve">变形、松动情况</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确保主体结构无安全隐患</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检查结论须有相关专家签字确认。</w:t>
            </w:r>
            <w:r/>
          </w:p>
        </w:tc>
      </w:tr>
      <w:tr>
        <w:trPr>
          <w:jc w:val="center"/>
          <w:trHeight w:val="1174"/>
        </w:trPr>
        <w:tc>
          <w:tcPr>
            <w:shd w:val="clear" w:color="auto" w:fill="auto"/>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gridSpan w:val="3"/>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绿雕表面仿真</w:t>
            </w:r>
            <w:r/>
          </w:p>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绿植更换</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m²</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1130</w:t>
            </w:r>
            <w:r/>
          </w:p>
        </w:tc>
        <w:tc>
          <w:tcPr>
            <w:shd w:val="clear" w:color="auto" w:fill="auto"/>
            <w:tcBorders>
              <w:top w:val="single" w:color="auto" w:sz="4" w:space="0"/>
              <w:left w:val="single" w:color="auto" w:sz="4" w:space="0"/>
              <w:bottom w:val="single" w:color="auto" w:sz="4" w:space="0"/>
              <w:right w:val="single" w:color="000000" w:sz="4" w:space="0"/>
            </w:tcBorders>
            <w:tcW w:w="5338" w:type="dxa"/>
            <w:vAlign w:val="center"/>
            <w:textDirection w:val="lrTb"/>
            <w:noWrap w:val="false"/>
          </w:tcPr>
          <w:p>
            <w:pPr>
              <w:ind w:firstLine="210"/>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合同期内，按照采购人要求对天德湖南门600平方米绿雕及永定路高架530平方米绿柱表面仿真绿植更换至少1次，并做好日常保养和维修。 </w:t>
            </w:r>
            <w:r>
              <w:rPr>
                <w:rFonts w:hint="eastAsia" w:ascii="宋体" w:hAnsi="宋体" w:eastAsia="宋体" w:cs="宋体"/>
                <w:color w:val="auto"/>
                <w:highlight w:val="none"/>
                <w:lang w:val="en-US" w:eastAsia="zh-CN"/>
              </w:rPr>
              <w:t xml:space="preserve">发现损坏或缺失的应当2日内维修到位。</w:t>
            </w:r>
            <w:r>
              <w:rPr>
                <w:rFonts w:hint="eastAsia" w:ascii="宋体" w:hAnsi="宋体" w:eastAsia="宋体" w:cs="宋体"/>
                <w:color w:val="auto"/>
                <w:highlight w:val="none"/>
              </w:rPr>
              <w:t xml:space="preserve">    </w:t>
            </w:r>
            <w:r/>
          </w:p>
        </w:tc>
      </w:tr>
      <w:tr>
        <w:trPr>
          <w:jc w:val="center"/>
          <w:trHeight w:val="1830"/>
        </w:trPr>
        <w:tc>
          <w:tcPr>
            <w:shd w:val="clear" w:color="auto" w:fill="auto"/>
            <w:tcBorders>
              <w:top w:val="single" w:color="auto" w:sz="4" w:space="0"/>
              <w:left w:val="single" w:color="auto" w:sz="4" w:space="0"/>
              <w:right w:val="single" w:color="auto" w:sz="4" w:space="0"/>
            </w:tcBorders>
            <w:tcW w:w="521" w:type="dxa"/>
            <w:vAlign w:val="center"/>
            <w:vMerge w:val="restart"/>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gridSpan w:val="2"/>
            <w:shd w:val="clear" w:color="auto" w:fill="auto"/>
            <w:tcBorders>
              <w:top w:val="single" w:color="auto" w:sz="4" w:space="0"/>
              <w:left w:val="single" w:color="auto" w:sz="4" w:space="0"/>
              <w:right w:val="single" w:color="auto" w:sz="4" w:space="0"/>
            </w:tcBorders>
            <w:tcW w:w="914" w:type="dxa"/>
            <w:vAlign w:val="center"/>
            <w:vMerge w:val="restart"/>
            <w:textDirection w:val="lrTb"/>
            <w:noWrap w:val="false"/>
          </w:tcPr>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地面花</w:t>
            </w:r>
            <w:r/>
          </w:p>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镜养护</w:t>
            </w:r>
            <w:r/>
          </w:p>
        </w:tc>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草花</w:t>
            </w:r>
            <w:r/>
          </w:p>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更换</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m²</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400</w:t>
            </w:r>
            <w:r/>
          </w:p>
        </w:tc>
        <w:tc>
          <w:tcPr>
            <w:shd w:val="clear" w:color="auto" w:fill="auto"/>
            <w:tcBorders>
              <w:top w:val="single" w:color="auto" w:sz="4" w:space="0"/>
              <w:left w:val="single" w:color="auto" w:sz="4" w:space="0"/>
              <w:right w:val="single" w:color="000000" w:sz="4" w:space="0"/>
            </w:tcBorders>
            <w:tcW w:w="5338" w:type="dxa"/>
            <w:vAlign w:val="center"/>
            <w:vMerge w:val="restart"/>
            <w:textDirection w:val="lrTb"/>
            <w:noWrap w:val="false"/>
          </w:tcPr>
          <w:p>
            <w:pPr>
              <w:ind w:firstLine="105"/>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（1）全年更换时令草花至少4次，所有时令草花盆径12cm以上，至少64盆/平方米，须满铺，脱盆栽植。绿雕整体换草至少2次。</w:t>
            </w:r>
            <w:r/>
          </w:p>
          <w:p>
            <w:pPr>
              <w:ind w:firstLine="105"/>
              <w:spacing w:after="0"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（2）植物品质：选用高品质容器苗或地栽健壮苗，无病虫害，确保四季有花。景观节点需有造型植物或彩叶针叶树作为焦点。</w:t>
            </w:r>
            <w:r/>
          </w:p>
          <w:p>
            <w:pPr>
              <w:ind w:firstLine="105"/>
              <w:spacing w:after="0"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（3）精细化养护：及时清理残花枯叶，根据季节控制水肥，定期梳理植物间距避免过密。主要花坛边缘需有装饰围边或收边植物。裸露地表用树皮、松鳞、火山石等覆盖物处理。</w:t>
            </w:r>
            <w:r/>
          </w:p>
          <w:p>
            <w:pPr>
              <w:ind w:firstLine="105"/>
              <w:spacing w:after="0" w:line="320" w:lineRule="exact"/>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（4）植株覆盖率大于80%，不得出现裸土。</w:t>
            </w:r>
            <w:r/>
          </w:p>
        </w:tc>
      </w:tr>
      <w:tr>
        <w:trPr>
          <w:jc w:val="center"/>
          <w:trHeight w:val="1200"/>
        </w:trPr>
        <w:tc>
          <w:tcPr>
            <w:shd w:val="clear" w:color="auto" w:fill="auto"/>
            <w:tcBorders>
              <w:left w:val="single" w:color="auto" w:sz="4" w:space="0"/>
              <w:bottom w:val="single" w:color="auto" w:sz="4" w:space="0"/>
              <w:right w:val="single" w:color="auto" w:sz="4" w:space="0"/>
            </w:tcBorders>
            <w:tcW w:w="521" w:type="dxa"/>
            <w:vAlign w:val="center"/>
            <w:vMerge w:val="continue"/>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shd w:val="clear" w:color="auto" w:fill="auto"/>
            <w:tcBorders>
              <w:left w:val="single" w:color="auto" w:sz="4" w:space="0"/>
              <w:bottom w:val="single" w:color="auto" w:sz="4" w:space="0"/>
              <w:right w:val="single" w:color="auto" w:sz="4" w:space="0"/>
            </w:tcBorders>
            <w:tcW w:w="914" w:type="dxa"/>
            <w:vAlign w:val="center"/>
            <w:vMerge w:val="continue"/>
            <w:textDirection w:val="lrTb"/>
            <w:noWrap w:val="false"/>
          </w:tcPr>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绿雕</w:t>
            </w:r>
            <w:r/>
          </w:p>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换草</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m²</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620</w:t>
            </w:r>
            <w:r/>
          </w:p>
        </w:tc>
        <w:tc>
          <w:tcPr>
            <w:shd w:val="clear" w:color="auto" w:fill="auto"/>
            <w:tcBorders>
              <w:left w:val="single" w:color="auto" w:sz="4" w:space="0"/>
              <w:bottom w:val="single" w:color="auto" w:sz="4" w:space="0"/>
              <w:right w:val="single" w:color="000000" w:sz="4" w:space="0"/>
            </w:tcBorders>
            <w:tcW w:w="5338" w:type="dxa"/>
            <w:vAlign w:val="center"/>
            <w:vMerge w:val="continue"/>
            <w:textDirection w:val="lrTb"/>
            <w:noWrap w:val="false"/>
          </w:tcPr>
          <w:p>
            <w:pPr>
              <w:ind w:firstLine="105"/>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1142"/>
        </w:trPr>
        <w:tc>
          <w:tcPr>
            <w:shd w:val="clear" w:color="auto" w:fill="auto"/>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gridSpan w:val="3"/>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sz w:val="20"/>
                <w:szCs w:val="20"/>
                <w:highlight w:val="none"/>
                <w:lang w:bidi="ar"/>
              </w:rPr>
              <w:t xml:space="preserve">绿墙养护</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m²</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193</w:t>
            </w:r>
            <w:r/>
          </w:p>
        </w:tc>
        <w:tc>
          <w:tcPr>
            <w:shd w:val="clear" w:color="auto" w:fill="auto"/>
            <w:tcBorders>
              <w:top w:val="single" w:color="auto" w:sz="4" w:space="0"/>
              <w:left w:val="single" w:color="auto" w:sz="4" w:space="0"/>
              <w:bottom w:val="single" w:color="auto" w:sz="4" w:space="0"/>
              <w:right w:val="single" w:color="000000" w:sz="4" w:space="0"/>
            </w:tcBorders>
            <w:tcW w:w="5338" w:type="dxa"/>
            <w:vAlign w:val="center"/>
            <w:textDirection w:val="lrTb"/>
            <w:noWrap w:val="false"/>
          </w:tcPr>
          <w:p>
            <w:pP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（1）巡查、修剪、施肥、病虫害防治等。</w:t>
            </w:r>
            <w:r/>
          </w:p>
          <w:p>
            <w:pP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（2）死亡植物及时更换。</w:t>
            </w:r>
            <w:r/>
          </w:p>
          <w:p>
            <w:pP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（3）滴灌系统维护。</w:t>
            </w:r>
            <w:r/>
          </w:p>
        </w:tc>
      </w:tr>
      <w:tr>
        <w:trPr>
          <w:jc w:val="center"/>
          <w:trHeight w:val="1313"/>
        </w:trPr>
        <w:tc>
          <w:tcPr>
            <w:shd w:val="clear" w:color="auto" w:fill="auto"/>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gridSpan w:val="3"/>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亮化维护</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auto" w:sz="4" w:space="0"/>
              <w:left w:val="single" w:color="auto" w:sz="4" w:space="0"/>
              <w:bottom w:val="single" w:color="auto" w:sz="4" w:space="0"/>
              <w:right w:val="single" w:color="000000" w:sz="4" w:space="0"/>
            </w:tcBorders>
            <w:tcW w:w="5338" w:type="dxa"/>
            <w:vAlign w:val="center"/>
            <w:textDirection w:val="lrTb"/>
            <w:noWrap w:val="false"/>
          </w:tcPr>
          <w:p>
            <w:pPr>
              <w:ind w:firstLine="210"/>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所有的亮化及灯带应按环保节能要求重新更换，并做好日常维护。凡有灯带、电缆线损坏、缺失等，须第一时间维修、更换。包括上述项目范围内绿雕、绿柱、绿墙等。</w:t>
            </w:r>
            <w:r/>
          </w:p>
        </w:tc>
      </w:tr>
      <w:tr>
        <w:trPr>
          <w:jc w:val="center"/>
          <w:trHeight w:val="417"/>
        </w:trPr>
        <w:tc>
          <w:tcPr>
            <w:shd w:val="clear" w:color="auto" w:fill="auto"/>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gridSpan w:val="3"/>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日常养护</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auto" w:sz="4" w:space="0"/>
              <w:left w:val="single" w:color="auto" w:sz="4" w:space="0"/>
              <w:bottom w:val="single" w:color="auto" w:sz="4" w:space="0"/>
              <w:right w:val="single" w:color="000000" w:sz="4" w:space="0"/>
            </w:tcBorders>
            <w:tcW w:w="5338" w:type="dxa"/>
            <w:vAlign w:val="center"/>
            <w:textDirection w:val="lrTb"/>
            <w:noWrap w:val="false"/>
          </w:tcPr>
          <w:p>
            <w:pP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（1）2000平方米左右草坪的养护和复播。</w:t>
            </w:r>
            <w:r/>
          </w:p>
          <w:p>
            <w:pP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（2）绿雕巡查、浇水、修剪、补植、施肥、加固、保洁等；其他绿化及景石、旱溪园路等景观小品的养护、维护。</w:t>
            </w:r>
            <w:r/>
          </w:p>
          <w:p>
            <w:pP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（3）其他绿化及景观小品的养护、维护。</w:t>
            </w:r>
            <w:bookmarkEnd w:id="126"/>
            <w:r/>
          </w:p>
        </w:tc>
      </w:tr>
    </w:tbl>
    <w:p>
      <w:pPr>
        <w:ind w:firstLine="210"/>
        <w:spacing w:after="0" w:line="480" w:lineRule="exact"/>
        <w:rPr>
          <w:rFonts w:ascii="宋体" w:hAnsi="宋体"/>
          <w:color w:val="auto"/>
          <w:szCs w:val="21"/>
          <w:highlight w:val="none"/>
        </w:rPr>
      </w:pPr>
      <w:r>
        <w:rPr>
          <w:rFonts w:hint="eastAsia" w:ascii="宋体" w:hAnsi="宋体"/>
          <w:color w:val="auto"/>
          <w:szCs w:val="21"/>
          <w:highlight w:val="none"/>
        </w:rPr>
        <w:t xml:space="preserve">备注：</w:t>
      </w:r>
      <w:r/>
    </w:p>
    <w:p>
      <w:pPr>
        <w:ind w:firstLine="630"/>
        <w:spacing w:after="0" w:line="320" w:lineRule="exact"/>
        <w:rPr>
          <w:rFonts w:ascii="宋体" w:hAnsi="宋体" w:cs="宋体"/>
          <w:color w:val="auto"/>
          <w:szCs w:val="21"/>
          <w:highlight w:val="none"/>
          <w:lang w:bidi="ar"/>
        </w:rPr>
      </w:pPr>
      <w:r>
        <w:rPr>
          <w:rFonts w:hint="eastAsia" w:ascii="宋体" w:hAnsi="宋体"/>
          <w:color w:val="auto"/>
          <w:szCs w:val="21"/>
          <w:highlight w:val="none"/>
        </w:rPr>
        <w:t xml:space="preserve">（</w:t>
      </w:r>
      <w:r>
        <w:rPr>
          <w:rFonts w:hint="eastAsia" w:ascii="宋体" w:hAnsi="宋体" w:cs="宋体"/>
          <w:color w:val="auto"/>
          <w:szCs w:val="21"/>
          <w:highlight w:val="none"/>
          <w:lang w:bidi="ar"/>
        </w:rPr>
        <w:t xml:space="preserve">1）地面花境每年至少更换4次,原则上春夏秋冬每季更换一次,</w:t>
      </w:r>
      <w:bookmarkStart w:id="127" w:name="_Hlk240471968"/>
      <w:r>
        <w:rPr>
          <w:rFonts w:hint="eastAsia" w:ascii="宋体" w:hAnsi="宋体" w:cs="宋体"/>
          <w:color w:val="auto"/>
          <w:szCs w:val="21"/>
          <w:highlight w:val="none"/>
          <w:lang w:bidi="ar"/>
        </w:rPr>
        <w:t xml:space="preserve">具体更换时间经甲方确认后执行，确保四季有花。</w:t>
      </w:r>
      <w:bookmarkEnd w:id="127"/>
      <w:r/>
    </w:p>
    <w:p>
      <w:pPr>
        <w:ind w:firstLine="630"/>
        <w:spacing w:after="0" w:line="32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（2）绿雕主体钢结构需每年至少进行1次全面加固与防腐出新。</w:t>
      </w:r>
      <w:r/>
    </w:p>
    <w:p>
      <w:pPr>
        <w:ind w:firstLine="630"/>
        <w:spacing w:after="0" w:line="320" w:lineRule="exact"/>
        <w:rPr>
          <w:rFonts w:ascii="宋体" w:hAnsi="宋体"/>
          <w:color w:val="auto"/>
          <w:szCs w:val="21"/>
          <w:highlight w:val="none"/>
        </w:rPr>
      </w:pPr>
      <w:r>
        <w:rPr>
          <w:rFonts w:hint="eastAsia" w:ascii="宋体" w:hAnsi="宋体" w:cs="宋体"/>
          <w:color w:val="auto"/>
          <w:szCs w:val="21"/>
          <w:highlight w:val="none"/>
          <w:lang w:bidi="ar"/>
        </w:rPr>
        <w:t xml:space="preserve">（3）供应商所报价格包括脚手架搭拆、绿植花卉材料、零星种植网拆换及营养土补充更换与改良、人工费、日常维护费、各项税金等。</w:t>
      </w:r>
      <w:r>
        <w:rPr>
          <w:rFonts w:ascii="宋体" w:hAnsi="宋体"/>
          <w:color w:val="auto"/>
          <w:szCs w:val="21"/>
          <w:highlight w:val="none"/>
        </w:rPr>
        <w:t xml:space="preserve"> </w:t>
      </w:r>
      <w:r/>
    </w:p>
    <w:p>
      <w:pPr>
        <w:ind w:firstLine="630"/>
        <w:spacing w:after="0" w:line="320" w:lineRule="exact"/>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以上品种和数量为投标报价的共同基础，实际</w:t>
      </w:r>
      <w:r>
        <w:rPr>
          <w:rFonts w:hint="eastAsia" w:ascii="宋体" w:hAnsi="宋体"/>
          <w:color w:val="auto"/>
          <w:szCs w:val="21"/>
          <w:highlight w:val="none"/>
        </w:rPr>
        <w:t xml:space="preserve">以具体实施</w:t>
      </w:r>
      <w:r>
        <w:rPr>
          <w:rFonts w:ascii="宋体" w:hAnsi="宋体"/>
          <w:color w:val="auto"/>
          <w:szCs w:val="21"/>
          <w:highlight w:val="none"/>
        </w:rPr>
        <w:t xml:space="preserve">的</w:t>
      </w:r>
      <w:r>
        <w:rPr>
          <w:rFonts w:hint="eastAsia" w:ascii="宋体" w:hAnsi="宋体"/>
          <w:color w:val="auto"/>
          <w:szCs w:val="21"/>
          <w:highlight w:val="none"/>
        </w:rPr>
        <w:t xml:space="preserve">为准</w:t>
      </w:r>
      <w:r>
        <w:rPr>
          <w:rFonts w:ascii="宋体" w:hAnsi="宋体"/>
          <w:color w:val="auto"/>
          <w:szCs w:val="21"/>
          <w:highlight w:val="none"/>
        </w:rPr>
        <w:t xml:space="preserve">。</w:t>
      </w:r>
      <w:r>
        <w:rPr>
          <w:rFonts w:hint="eastAsia" w:ascii="宋体" w:hAnsi="宋体"/>
          <w:color w:val="auto"/>
          <w:szCs w:val="21"/>
          <w:highlight w:val="none"/>
        </w:rPr>
        <w:t xml:space="preserve">成交供应商除需履行上述工作内容及要求外，还须完成采购人布置的其他临时性工作和指令性任务。</w:t>
      </w:r>
      <w:bookmarkEnd w:id="122"/>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966"/>
        <w:jc w:val="both"/>
        <w:keepLines w:val="0"/>
        <w:keepNext w:val="0"/>
        <w:spacing w:before="0" w:after="0"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二、工作要求</w:t>
      </w:r>
      <w:r/>
    </w:p>
    <w:p>
      <w:pPr>
        <w:contextualSpacing/>
        <w:ind w:firstLine="482"/>
        <w:spacing w:after="0" w:line="480" w:lineRule="exact"/>
        <w:widowControl/>
        <w:rPr>
          <w:color w:val="auto"/>
          <w:sz w:val="24"/>
          <w:highlight w:val="none"/>
        </w:rPr>
      </w:pPr>
      <w:r>
        <w:rPr>
          <w:rFonts w:hint="eastAsia"/>
          <w:color w:val="auto"/>
          <w:sz w:val="24"/>
          <w:highlight w:val="none"/>
        </w:rPr>
        <w:t xml:space="preserve">1.日常考核按照《江苏省城市绿化管理条例》《泰州市绿化条例》《江苏省城市园林绿化养护管理规范及分级标准》《江苏省城市园林绿化植物种植技术规定（试行）》《江苏省城市园林绿化植物养护技术规定》和泰州市市政园林事业中心的有关要求执行。</w:t>
      </w:r>
      <w:r/>
    </w:p>
    <w:p>
      <w:pPr>
        <w:contextualSpacing/>
        <w:ind w:firstLine="482"/>
        <w:spacing w:after="0" w:line="480" w:lineRule="exact"/>
        <w:widowControl/>
        <w:rPr>
          <w:color w:val="auto"/>
          <w:sz w:val="24"/>
          <w:highlight w:val="none"/>
        </w:rPr>
      </w:pPr>
      <w:r>
        <w:rPr>
          <w:rFonts w:hint="eastAsia"/>
          <w:bCs/>
          <w:color w:val="auto"/>
          <w:sz w:val="24"/>
          <w:highlight w:val="none"/>
        </w:rPr>
        <w:t xml:space="preserve">2.基本要求</w:t>
      </w:r>
      <w:r/>
    </w:p>
    <w:p>
      <w:pPr>
        <w:contextualSpacing/>
        <w:ind w:firstLine="482"/>
        <w:spacing w:after="0" w:line="480" w:lineRule="exact"/>
        <w:widowControl/>
        <w:rPr>
          <w:color w:val="auto"/>
          <w:sz w:val="24"/>
          <w:highlight w:val="none"/>
        </w:rPr>
      </w:pPr>
      <w:r>
        <w:rPr>
          <w:rFonts w:hint="eastAsia"/>
          <w:color w:val="auto"/>
          <w:sz w:val="24"/>
          <w:highlight w:val="none"/>
        </w:rPr>
        <w:t xml:space="preserve">（1）完成本项目绿雕花卉栽植更换、设施维护等作业。</w:t>
      </w:r>
      <w:r/>
    </w:p>
    <w:p>
      <w:pPr>
        <w:contextualSpacing/>
        <w:ind w:firstLine="482"/>
        <w:spacing w:after="0" w:line="480" w:lineRule="exact"/>
        <w:widowControl/>
        <w:rPr>
          <w:color w:val="auto"/>
          <w:sz w:val="24"/>
          <w:highlight w:val="none"/>
        </w:rPr>
      </w:pPr>
      <w:r>
        <w:rPr>
          <w:rFonts w:hint="eastAsia"/>
          <w:color w:val="auto"/>
          <w:sz w:val="24"/>
          <w:highlight w:val="none"/>
        </w:rPr>
        <w:t xml:space="preserve">（2）养护期内每天巡查设施，对破坏绿雕、影响绿化景观、环境卫生等行为予以制止，并及时上报和整改到位。接受监理单位的养护全过程现场监管，对于采购人巡查下发的问题整改菜单，及时整改。</w:t>
      </w:r>
      <w:r/>
    </w:p>
    <w:p>
      <w:pPr>
        <w:contextualSpacing/>
        <w:ind w:firstLine="482"/>
        <w:spacing w:after="0" w:line="480" w:lineRule="exact"/>
        <w:widowControl/>
        <w:rPr>
          <w:color w:val="auto"/>
          <w:sz w:val="24"/>
          <w:highlight w:val="none"/>
        </w:rPr>
      </w:pPr>
      <w:r>
        <w:rPr>
          <w:rFonts w:hint="eastAsia"/>
          <w:color w:val="auto"/>
          <w:sz w:val="24"/>
          <w:highlight w:val="none"/>
        </w:rPr>
        <w:t xml:space="preserve">（3）完成项目范围内的应急抢险及消险工作。在消险过程中严格确保安全作业；对突发性事件的应急预案，以便应对突发性事件。</w:t>
      </w:r>
      <w:r/>
    </w:p>
    <w:p>
      <w:pPr>
        <w:contextualSpacing/>
        <w:ind w:firstLine="482"/>
        <w:spacing w:after="0" w:line="480" w:lineRule="exact"/>
        <w:widowControl/>
        <w:rPr>
          <w:color w:val="auto"/>
          <w:sz w:val="24"/>
          <w:highlight w:val="none"/>
        </w:rPr>
      </w:pPr>
      <w:r>
        <w:rPr>
          <w:rFonts w:hint="eastAsia"/>
          <w:color w:val="auto"/>
          <w:sz w:val="24"/>
          <w:highlight w:val="none"/>
        </w:rPr>
        <w:t xml:space="preserve">（4）完成项目范围内各类信访、投诉、举报的处理和整改。</w:t>
      </w:r>
      <w:r/>
    </w:p>
    <w:p>
      <w:pPr>
        <w:contextualSpacing/>
        <w:ind w:firstLine="482"/>
        <w:spacing w:after="0" w:line="480" w:lineRule="exact"/>
        <w:widowControl/>
        <w:rPr>
          <w:color w:val="auto"/>
          <w:sz w:val="24"/>
          <w:highlight w:val="none"/>
        </w:rPr>
      </w:pPr>
      <w:r>
        <w:rPr>
          <w:rFonts w:hint="eastAsia"/>
          <w:color w:val="auto"/>
          <w:sz w:val="24"/>
          <w:highlight w:val="none"/>
        </w:rPr>
        <w:t xml:space="preserve">（5）完成采购人布置的其他临时性工作和指令性任务</w:t>
      </w:r>
      <w:r>
        <w:rPr>
          <w:color w:val="auto"/>
          <w:sz w:val="24"/>
          <w:highlight w:val="none"/>
        </w:rPr>
        <w:t xml:space="preserve">。</w:t>
      </w:r>
      <w:r/>
    </w:p>
    <w:p>
      <w:pPr>
        <w:contextualSpacing/>
        <w:ind w:firstLine="482"/>
        <w:spacing w:after="0" w:line="480" w:lineRule="exact"/>
        <w:widowControl/>
        <w:rPr>
          <w:bCs/>
          <w:color w:val="auto"/>
          <w:sz w:val="24"/>
          <w:highlight w:val="none"/>
        </w:rPr>
      </w:pPr>
      <w:r>
        <w:rPr>
          <w:rFonts w:hint="eastAsia"/>
          <w:bCs/>
          <w:color w:val="auto"/>
          <w:sz w:val="24"/>
          <w:highlight w:val="none"/>
        </w:rPr>
        <w:t xml:space="preserve">3.绿雕养护具体要求</w:t>
      </w:r>
      <w:r/>
    </w:p>
    <w:p>
      <w:pPr>
        <w:contextualSpacing/>
        <w:ind w:firstLine="482"/>
        <w:spacing w:after="0" w:line="480" w:lineRule="exact"/>
        <w:widowControl/>
        <w:rPr>
          <w:bCs/>
          <w:color w:val="auto"/>
          <w:sz w:val="24"/>
          <w:highlight w:val="none"/>
        </w:rPr>
      </w:pPr>
      <w:r>
        <w:rPr>
          <w:rFonts w:hint="eastAsia"/>
          <w:bCs/>
          <w:color w:val="auto"/>
          <w:sz w:val="24"/>
          <w:highlight w:val="none"/>
        </w:rPr>
        <w:t xml:space="preserve">（1）绿雕整体换草不少于</w:t>
      </w:r>
      <w:r>
        <w:rPr>
          <w:bCs/>
          <w:color w:val="auto"/>
          <w:sz w:val="24"/>
          <w:highlight w:val="none"/>
        </w:rPr>
        <w:t xml:space="preserve">2</w:t>
      </w:r>
      <w:r>
        <w:rPr>
          <w:rFonts w:hint="eastAsia"/>
          <w:bCs/>
          <w:color w:val="auto"/>
          <w:sz w:val="24"/>
          <w:highlight w:val="none"/>
        </w:rPr>
        <w:t xml:space="preserve">次。入冬前更换成耐寒性佳的红景天、佛甲草、黄金佛甲草等冬季草，次年入夏前更换成耐热性佳的红草、绿草、黄金佛甲草等夏季草，满铺并根据景观要求不定时补植。 </w:t>
      </w:r>
      <w:r/>
    </w:p>
    <w:p>
      <w:pPr>
        <w:contextualSpacing/>
        <w:ind w:firstLine="482"/>
        <w:spacing w:after="0" w:line="480" w:lineRule="exact"/>
        <w:widowControl/>
        <w:rPr>
          <w:bCs/>
          <w:color w:val="auto"/>
          <w:sz w:val="24"/>
          <w:highlight w:val="none"/>
        </w:rPr>
      </w:pPr>
      <w:r>
        <w:rPr>
          <w:rFonts w:hint="eastAsia"/>
          <w:bCs/>
          <w:color w:val="auto"/>
          <w:sz w:val="24"/>
          <w:highlight w:val="none"/>
        </w:rPr>
        <w:t xml:space="preserve">（2）所有时令草花盆径12cm以上，至少64盆/平方米，满铺，需脱盆栽植并根据采购人要求更换不少于4次；品种包含但不限于孔雀草、长春花、香彩雀、夏堇、五星花、彩叶草、鸡冠花、石竹、百日草、牵牛花、海棠、一串红、报春花等。具体使用时间、品种经采购人同意后使用。  </w:t>
      </w:r>
      <w:r/>
    </w:p>
    <w:p>
      <w:pPr>
        <w:contextualSpacing/>
        <w:ind w:firstLine="482"/>
        <w:spacing w:after="0" w:line="480" w:lineRule="exact"/>
        <w:widowControl/>
        <w:rPr>
          <w:bCs/>
          <w:color w:val="auto"/>
          <w:sz w:val="24"/>
          <w:highlight w:val="none"/>
        </w:rPr>
      </w:pPr>
      <w:r>
        <w:rPr>
          <w:rFonts w:hint="eastAsia"/>
          <w:bCs/>
          <w:color w:val="auto"/>
          <w:sz w:val="24"/>
          <w:highlight w:val="none"/>
        </w:rPr>
        <w:t xml:space="preserve">（3）养护方案切实可行，措施具体。应根据植物习性、色彩要求进行更换，确保成活，达到效果。</w:t>
      </w:r>
      <w:r/>
    </w:p>
    <w:p>
      <w:pPr>
        <w:contextualSpacing/>
        <w:ind w:firstLine="482"/>
        <w:spacing w:after="0" w:line="480" w:lineRule="exact"/>
        <w:widowControl/>
        <w:rPr>
          <w:bCs/>
          <w:color w:val="auto"/>
          <w:sz w:val="24"/>
          <w:highlight w:val="none"/>
        </w:rPr>
      </w:pPr>
      <w:r>
        <w:rPr>
          <w:rFonts w:hint="eastAsia"/>
          <w:bCs/>
          <w:color w:val="auto"/>
          <w:sz w:val="24"/>
          <w:highlight w:val="none"/>
        </w:rPr>
        <w:t xml:space="preserve">（4）植物生长良好，无缺水萎蔫、无明显病虫害等危害迹象。</w:t>
      </w:r>
      <w:r/>
    </w:p>
    <w:p>
      <w:pPr>
        <w:contextualSpacing/>
        <w:ind w:firstLine="482"/>
        <w:spacing w:after="0" w:line="480" w:lineRule="exact"/>
        <w:widowControl/>
        <w:rPr>
          <w:bCs/>
          <w:color w:val="auto"/>
          <w:sz w:val="24"/>
          <w:highlight w:val="none"/>
        </w:rPr>
      </w:pPr>
      <w:r>
        <w:rPr>
          <w:rFonts w:hint="eastAsia"/>
          <w:bCs/>
          <w:color w:val="auto"/>
          <w:sz w:val="24"/>
          <w:highlight w:val="none"/>
        </w:rPr>
        <w:t xml:space="preserve">（5）植物修剪造型轮廓清晰、自然，高矮一致，表面平整。</w:t>
      </w:r>
      <w:r/>
    </w:p>
    <w:p>
      <w:pPr>
        <w:contextualSpacing/>
        <w:ind w:firstLine="482"/>
        <w:spacing w:after="0" w:line="480" w:lineRule="exact"/>
        <w:widowControl/>
        <w:rPr>
          <w:bCs/>
          <w:color w:val="auto"/>
          <w:sz w:val="24"/>
          <w:highlight w:val="none"/>
        </w:rPr>
      </w:pPr>
      <w:r>
        <w:rPr>
          <w:rFonts w:hint="eastAsia"/>
          <w:bCs/>
          <w:color w:val="auto"/>
          <w:sz w:val="24"/>
          <w:highlight w:val="none"/>
        </w:rPr>
        <w:t xml:space="preserve">（6）植株枝叶分布均匀，无枯枝残叶，无影响观赏的空秃缺株。</w:t>
      </w:r>
      <w:r/>
    </w:p>
    <w:p>
      <w:pPr>
        <w:contextualSpacing/>
        <w:ind w:firstLine="482"/>
        <w:spacing w:after="0" w:line="480" w:lineRule="exact"/>
        <w:widowControl/>
        <w:rPr>
          <w:bCs/>
          <w:color w:val="auto"/>
          <w:sz w:val="24"/>
          <w:highlight w:val="none"/>
        </w:rPr>
      </w:pPr>
      <w:r>
        <w:rPr>
          <w:rFonts w:hint="eastAsia"/>
          <w:bCs/>
          <w:color w:val="auto"/>
          <w:sz w:val="24"/>
          <w:highlight w:val="none"/>
        </w:rPr>
        <w:t xml:space="preserve">（7）表面无杂草、残花败叶，叶面干净整洁。</w:t>
      </w:r>
      <w:r/>
    </w:p>
    <w:p>
      <w:pPr>
        <w:contextualSpacing/>
        <w:ind w:firstLine="482"/>
        <w:spacing w:after="0" w:line="480" w:lineRule="exact"/>
        <w:widowControl/>
        <w:rPr>
          <w:bCs/>
          <w:color w:val="auto"/>
          <w:sz w:val="24"/>
          <w:highlight w:val="none"/>
        </w:rPr>
      </w:pPr>
      <w:r>
        <w:rPr>
          <w:rFonts w:hint="eastAsia"/>
          <w:bCs/>
          <w:color w:val="auto"/>
          <w:sz w:val="24"/>
          <w:highlight w:val="none"/>
        </w:rPr>
        <w:t xml:space="preserve">（8）确保构件设施完好无损，整体安全牢固，无变形扭曲，无安全隐患。</w:t>
      </w:r>
      <w:r/>
    </w:p>
    <w:p>
      <w:pPr>
        <w:contextualSpacing/>
        <w:ind w:firstLine="482"/>
        <w:spacing w:after="0" w:line="480" w:lineRule="exact"/>
        <w:widowControl/>
        <w:rPr>
          <w:bCs/>
          <w:color w:val="auto"/>
          <w:sz w:val="24"/>
          <w:highlight w:val="none"/>
        </w:rPr>
      </w:pPr>
      <w:r>
        <w:rPr>
          <w:rFonts w:hint="eastAsia"/>
          <w:bCs/>
          <w:color w:val="auto"/>
          <w:sz w:val="24"/>
          <w:highlight w:val="none"/>
        </w:rPr>
        <w:t xml:space="preserve">（9）部分品种或全部品种有衰败迹象时，应及时补植或更换。</w:t>
      </w:r>
      <w:r/>
    </w:p>
    <w:p>
      <w:pPr>
        <w:contextualSpacing/>
        <w:ind w:firstLine="482"/>
        <w:spacing w:after="0" w:line="480" w:lineRule="exact"/>
        <w:widowControl/>
        <w:rPr>
          <w:bCs/>
          <w:color w:val="auto"/>
          <w:sz w:val="24"/>
          <w:highlight w:val="none"/>
        </w:rPr>
      </w:pPr>
      <w:r>
        <w:rPr>
          <w:rFonts w:hint="eastAsia"/>
          <w:bCs/>
          <w:color w:val="auto"/>
          <w:sz w:val="24"/>
          <w:highlight w:val="none"/>
        </w:rPr>
        <w:t xml:space="preserve">（10）绿雕本身及周边整洁卫生，无影响观瞻的杂物。</w:t>
      </w:r>
      <w:r/>
    </w:p>
    <w:p>
      <w:pPr>
        <w:contextualSpacing/>
        <w:ind w:firstLine="482"/>
        <w:spacing w:after="0" w:line="480" w:lineRule="exact"/>
        <w:widowControl/>
        <w:rPr>
          <w:bCs/>
          <w:color w:val="auto"/>
          <w:sz w:val="24"/>
          <w:highlight w:val="none"/>
        </w:rPr>
      </w:pPr>
      <w:r>
        <w:rPr>
          <w:rFonts w:hint="eastAsia"/>
          <w:bCs/>
          <w:color w:val="auto"/>
          <w:sz w:val="24"/>
          <w:highlight w:val="none"/>
        </w:rPr>
        <w:t xml:space="preserve">（11）配合做好绿雕加固或拆除工作。</w:t>
      </w:r>
      <w:r/>
    </w:p>
    <w:p>
      <w:pPr>
        <w:pStyle w:val="981"/>
        <w:ind w:firstLine="482"/>
        <w:spacing w:after="0" w:line="480" w:lineRule="exact"/>
        <w:rPr>
          <w:bCs/>
          <w:color w:val="auto"/>
          <w:sz w:val="24"/>
          <w:szCs w:val="24"/>
          <w:highlight w:val="none"/>
        </w:rPr>
      </w:pPr>
      <w:r>
        <w:rPr>
          <w:rFonts w:hint="eastAsia"/>
          <w:bCs/>
          <w:color w:val="auto"/>
          <w:sz w:val="24"/>
          <w:szCs w:val="24"/>
          <w:highlight w:val="none"/>
        </w:rPr>
        <w:t xml:space="preserve">4.养护期内成交供应商应做好管护区域内安全生产工作，发现安全隐患及时处理，在管护期限和管护范围内发生的人身和财产等一切安全事故均由成交供应商全面负责。</w:t>
      </w:r>
      <w:r/>
    </w:p>
    <w:p>
      <w:pPr>
        <w:pStyle w:val="981"/>
        <w:ind w:firstLine="482"/>
        <w:spacing w:after="0" w:line="480" w:lineRule="exact"/>
        <w:rPr>
          <w:bCs/>
          <w:color w:val="auto"/>
          <w:sz w:val="24"/>
          <w:szCs w:val="24"/>
          <w:highlight w:val="none"/>
        </w:rPr>
      </w:pPr>
      <w:r>
        <w:rPr>
          <w:rFonts w:hint="eastAsia"/>
          <w:bCs/>
          <w:color w:val="auto"/>
          <w:sz w:val="24"/>
          <w:szCs w:val="24"/>
          <w:highlight w:val="none"/>
        </w:rPr>
        <w:t xml:space="preserve">5</w:t>
      </w:r>
      <w:r>
        <w:rPr>
          <w:bCs/>
          <w:color w:val="auto"/>
          <w:sz w:val="24"/>
          <w:szCs w:val="24"/>
          <w:highlight w:val="none"/>
        </w:rPr>
        <w:t xml:space="preserve">.</w:t>
      </w:r>
      <w:r>
        <w:rPr>
          <w:rFonts w:hint="eastAsia"/>
          <w:bCs/>
          <w:color w:val="auto"/>
          <w:sz w:val="24"/>
          <w:szCs w:val="24"/>
          <w:highlight w:val="none"/>
        </w:rPr>
        <w:t xml:space="preserve">成交供应商</w:t>
      </w:r>
      <w:r>
        <w:rPr>
          <w:bCs/>
          <w:color w:val="auto"/>
          <w:sz w:val="24"/>
          <w:szCs w:val="24"/>
          <w:highlight w:val="none"/>
        </w:rPr>
        <w:t xml:space="preserve">必须执行国家劳动法的相关规定，按法律、法规及有关政策为其服务人员购买社会保险、意外保险等相关保险。落实好安全生产的措施和配置安全作业的劳保用品。</w:t>
      </w:r>
      <w:r/>
    </w:p>
    <w:p>
      <w:pPr>
        <w:pStyle w:val="981"/>
        <w:ind w:firstLine="482"/>
        <w:spacing w:after="0" w:line="480" w:lineRule="exact"/>
        <w:rPr>
          <w:bCs/>
          <w:color w:val="auto"/>
          <w:sz w:val="24"/>
          <w:szCs w:val="24"/>
          <w:highlight w:val="none"/>
        </w:rPr>
      </w:pPr>
      <w:r>
        <w:rPr>
          <w:rFonts w:hint="eastAsia"/>
          <w:bCs/>
          <w:color w:val="auto"/>
          <w:sz w:val="24"/>
          <w:szCs w:val="24"/>
          <w:highlight w:val="none"/>
        </w:rPr>
        <w:t xml:space="preserve">6.作业人员在养护作业时应当统一着劳保服装，并按照要求设置明显安全标志和采取有效的安全防护措施，必要时应安排专职的安全人员对施工作业区域进行安全管理和监督，并进行现场疏导，以确保养护作业安全及行车安全。</w:t>
      </w:r>
      <w:r/>
    </w:p>
    <w:p>
      <w:pPr>
        <w:pStyle w:val="966"/>
        <w:jc w:val="both"/>
        <w:keepLines w:val="0"/>
        <w:keepNext w:val="0"/>
        <w:spacing w:before="0" w:after="0"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三、人员及机械设备的基本要求</w:t>
      </w:r>
      <w:r/>
    </w:p>
    <w:p>
      <w:pPr>
        <w:pStyle w:val="981"/>
        <w:ind w:firstLine="482"/>
        <w:spacing w:after="0" w:line="480" w:lineRule="exact"/>
        <w:rPr>
          <w:bCs/>
          <w:color w:val="auto"/>
          <w:sz w:val="24"/>
          <w:szCs w:val="24"/>
          <w:highlight w:val="none"/>
        </w:rPr>
      </w:pPr>
      <w:r>
        <w:rPr>
          <w:rFonts w:hint="eastAsia"/>
          <w:bCs/>
          <w:color w:val="auto"/>
          <w:sz w:val="24"/>
          <w:szCs w:val="24"/>
          <w:highlight w:val="none"/>
        </w:rPr>
        <w:t xml:space="preserve">1.供应商需根据本项目特点及自身情况配备人员，且服务人员数量必须满足采购人的实际工作要求。人员配备应组织机构健全，人员架构清晰，具有相应技术证书，且制定统一的管理办法。</w:t>
      </w:r>
      <w:r/>
    </w:p>
    <w:p>
      <w:pPr>
        <w:pStyle w:val="981"/>
        <w:ind w:firstLine="482"/>
        <w:spacing w:after="0" w:line="480" w:lineRule="exact"/>
        <w:rPr>
          <w:bCs/>
          <w:color w:val="auto"/>
          <w:sz w:val="24"/>
          <w:szCs w:val="24"/>
          <w:highlight w:val="none"/>
        </w:rPr>
      </w:pPr>
      <w:r>
        <w:rPr>
          <w:rFonts w:hint="eastAsia"/>
          <w:bCs/>
          <w:color w:val="auto"/>
          <w:sz w:val="24"/>
          <w:szCs w:val="24"/>
          <w:highlight w:val="none"/>
        </w:rPr>
        <w:t xml:space="preserve">2.本项目应配备项目负责人1名，需具备绿雕设计、施工养护等专业能力。</w:t>
      </w:r>
      <w:r/>
    </w:p>
    <w:p>
      <w:pPr>
        <w:pStyle w:val="981"/>
        <w:ind w:firstLine="482"/>
        <w:spacing w:after="0" w:line="480" w:lineRule="exact"/>
        <w:rPr>
          <w:bCs/>
          <w:color w:val="auto"/>
          <w:sz w:val="24"/>
          <w:szCs w:val="24"/>
          <w:highlight w:val="none"/>
        </w:rPr>
      </w:pPr>
      <w:r>
        <w:rPr>
          <w:rFonts w:hint="eastAsia"/>
          <w:bCs/>
          <w:color w:val="auto"/>
          <w:sz w:val="24"/>
          <w:szCs w:val="24"/>
          <w:highlight w:val="none"/>
        </w:rPr>
        <w:t xml:space="preserve">3.供应商为本项目配备的各类机械设备必须满足本项目的实际需要。</w:t>
      </w:r>
      <w:r/>
    </w:p>
    <w:p>
      <w:pPr>
        <w:pStyle w:val="966"/>
        <w:jc w:val="both"/>
        <w:keepLines w:val="0"/>
        <w:keepNext w:val="0"/>
        <w:spacing w:before="0" w:after="0"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四、考核要求</w:t>
      </w:r>
      <w:r/>
    </w:p>
    <w:p>
      <w:pPr>
        <w:pStyle w:val="981"/>
        <w:ind w:firstLine="482"/>
        <w:spacing w:after="0" w:line="480" w:lineRule="exact"/>
        <w:rPr>
          <w:bCs/>
          <w:color w:val="auto"/>
          <w:sz w:val="24"/>
          <w:szCs w:val="24"/>
          <w:highlight w:val="none"/>
        </w:rPr>
      </w:pPr>
      <w:r>
        <w:rPr>
          <w:rFonts w:hint="eastAsia"/>
          <w:bCs/>
          <w:color w:val="auto"/>
          <w:sz w:val="24"/>
          <w:szCs w:val="24"/>
          <w:highlight w:val="none"/>
        </w:rPr>
        <w:t xml:space="preserve">1.按照国家、省、市相关法律法规、行业规范和采购人的文件规定和相关要求执行。</w:t>
      </w:r>
      <w:r/>
    </w:p>
    <w:p>
      <w:pPr>
        <w:pStyle w:val="981"/>
        <w:ind w:firstLine="482"/>
        <w:spacing w:after="0" w:line="480" w:lineRule="exact"/>
        <w:rPr>
          <w:bCs/>
          <w:color w:val="auto"/>
          <w:sz w:val="24"/>
          <w:szCs w:val="24"/>
          <w:highlight w:val="none"/>
        </w:rPr>
      </w:pPr>
      <w:r>
        <w:rPr>
          <w:rFonts w:hint="eastAsia"/>
          <w:bCs/>
          <w:color w:val="auto"/>
          <w:sz w:val="24"/>
          <w:szCs w:val="24"/>
          <w:highlight w:val="none"/>
        </w:rPr>
        <w:t xml:space="preserve">2.采购人根据《绿雕养护季度考核细则》（见本章附件）对成交供应商养护情况进行考核，考核得分在90分以上（含）视为满足养护服务要求。考核得分低于</w:t>
      </w:r>
      <w:r>
        <w:rPr>
          <w:rFonts w:hint="eastAsia"/>
          <w:bCs/>
          <w:color w:val="auto"/>
          <w:sz w:val="24"/>
          <w:szCs w:val="24"/>
          <w:highlight w:val="none"/>
          <w:lang w:val="en-US" w:eastAsia="zh-CN"/>
        </w:rPr>
        <w:t xml:space="preserve">90</w:t>
      </w:r>
      <w:r>
        <w:rPr>
          <w:rFonts w:hint="eastAsia"/>
          <w:bCs/>
          <w:color w:val="auto"/>
          <w:sz w:val="24"/>
          <w:szCs w:val="24"/>
          <w:highlight w:val="none"/>
        </w:rPr>
        <w:t xml:space="preserve">分的，每低1分将扣除</w:t>
      </w:r>
      <w:r>
        <w:rPr>
          <w:rFonts w:hint="eastAsia"/>
          <w:bCs/>
          <w:color w:val="auto"/>
          <w:sz w:val="24"/>
          <w:szCs w:val="24"/>
          <w:highlight w:val="none"/>
          <w:lang w:val="en-US" w:eastAsia="zh-CN"/>
        </w:rPr>
        <w:t xml:space="preserve">200元</w:t>
      </w:r>
      <w:r>
        <w:rPr>
          <w:rFonts w:hint="eastAsia"/>
          <w:bCs/>
          <w:color w:val="auto"/>
          <w:sz w:val="24"/>
          <w:szCs w:val="24"/>
          <w:highlight w:val="none"/>
        </w:rPr>
        <w:t xml:space="preserve">；考核得分低于70分的，采购人有权终止合同。采购人根据工作实际需要，会不定期对考核细则进行调整。</w:t>
      </w:r>
      <w:r/>
    </w:p>
    <w:p>
      <w:pPr>
        <w:pStyle w:val="966"/>
        <w:jc w:val="both"/>
        <w:keepLines w:val="0"/>
        <w:keepNext w:val="0"/>
        <w:spacing w:before="0" w:after="0"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五、报价说明</w:t>
      </w:r>
      <w:r/>
    </w:p>
    <w:p>
      <w:pPr>
        <w:ind w:firstLine="482"/>
        <w:spacing w:after="0" w:line="480" w:lineRule="exact"/>
        <w:rPr>
          <w:rFonts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iCs/>
          <w:color w:val="auto"/>
          <w:sz w:val="24"/>
          <w:highlight w:val="none"/>
        </w:rPr>
        <w:t xml:space="preserve">投标报价不得超过采购文件规定的最高限价，否则按无效投标文件处理。</w:t>
      </w:r>
      <w:r/>
    </w:p>
    <w:p>
      <w:pPr>
        <w:pStyle w:val="1166"/>
        <w:ind w:firstLine="482"/>
        <w:spacing w:after="0" w:line="480" w:lineRule="exact"/>
        <w:rPr>
          <w:rFonts w:asciiTheme="minorEastAsia" w:hAnsiTheme="minorEastAsia" w:eastAsiaTheme="minorEastAsia"/>
          <w:b/>
          <w:bCs/>
          <w:color w:val="auto"/>
          <w:szCs w:val="24"/>
          <w:highlight w:val="none"/>
        </w:rPr>
      </w:pPr>
      <w:r>
        <w:rPr>
          <w:rFonts w:hint="eastAsia" w:ascii="宋体" w:hAnsi="宋体" w:cs="宋体"/>
          <w:bCs/>
          <w:color w:val="auto"/>
          <w:sz w:val="24"/>
          <w:highlight w:val="none"/>
        </w:rPr>
        <w:t xml:space="preserve">2.</w:t>
      </w:r>
      <w:r>
        <w:rPr>
          <w:rFonts w:hint="eastAsia" w:ascii="宋体" w:hAnsi="宋体"/>
          <w:color w:val="auto"/>
          <w:sz w:val="24"/>
          <w:szCs w:val="24"/>
          <w:highlight w:val="none"/>
        </w:rPr>
        <w:t xml:space="preserve">本项目投标报价采用</w:t>
      </w:r>
      <w:r>
        <w:rPr>
          <w:rFonts w:hint="eastAsia" w:ascii="宋体" w:hAnsi="宋体"/>
          <w:b/>
          <w:bCs/>
          <w:color w:val="auto"/>
          <w:sz w:val="24"/>
          <w:szCs w:val="24"/>
          <w:highlight w:val="none"/>
        </w:rPr>
        <w:t xml:space="preserve">固定总价</w:t>
      </w:r>
      <w:r>
        <w:rPr>
          <w:rFonts w:hint="eastAsia" w:ascii="宋体" w:hAnsi="宋体"/>
          <w:color w:val="auto"/>
          <w:sz w:val="24"/>
          <w:szCs w:val="24"/>
          <w:highlight w:val="none"/>
        </w:rPr>
        <w:t xml:space="preserve">的方式，</w:t>
      </w:r>
      <w:r>
        <w:rPr>
          <w:rFonts w:hint="eastAsia" w:ascii="宋体" w:hAnsi="宋体"/>
          <w:color w:val="auto"/>
          <w:sz w:val="24"/>
          <w:highlight w:val="none"/>
        </w:rPr>
        <w:t xml:space="preserve">投标供应商的报价包含完成本项目服务工作期间所需的全部费用，包括但不限于所需的人工费、材料费、施工机具使用费、保险费、运输费、管理费、利润、措施项目费、其他项目费、规费、税金、</w:t>
      </w:r>
      <w:r>
        <w:rPr>
          <w:rFonts w:hint="eastAsia" w:ascii="宋体" w:hAnsi="宋体"/>
          <w:color w:val="auto"/>
          <w:sz w:val="24"/>
          <w:szCs w:val="24"/>
          <w:highlight w:val="none"/>
        </w:rPr>
        <w:t xml:space="preserve">责任（含安全）等各项应有费用、</w:t>
      </w:r>
      <w:r>
        <w:rPr>
          <w:rFonts w:hint="eastAsia" w:ascii="宋体" w:hAnsi="宋体"/>
          <w:color w:val="auto"/>
          <w:sz w:val="24"/>
          <w:highlight w:val="none"/>
        </w:rPr>
        <w:t xml:space="preserve">采购文件约定的其他各项费用、有关文件规定的政策性调价以及各种可能发生的风险费用，</w:t>
      </w:r>
      <w:r>
        <w:rPr>
          <w:rFonts w:hint="eastAsia" w:ascii="宋体" w:hAnsi="宋体"/>
          <w:color w:val="auto"/>
          <w:sz w:val="24"/>
          <w:szCs w:val="24"/>
          <w:highlight w:val="none"/>
        </w:rPr>
        <w:t xml:space="preserve">不论其在采购文件中是否有提及</w:t>
      </w:r>
      <w:r>
        <w:rPr>
          <w:rFonts w:hint="eastAsia" w:ascii="宋体" w:hAnsi="宋体"/>
          <w:color w:val="auto"/>
          <w:sz w:val="24"/>
          <w:highlight w:val="none"/>
        </w:rPr>
        <w:t xml:space="preserve">。</w:t>
      </w:r>
      <w:r>
        <w:rPr>
          <w:rFonts w:hint="eastAsia" w:cs="等线"/>
          <w:color w:val="auto"/>
          <w:sz w:val="24"/>
          <w:szCs w:val="24"/>
          <w:highlight w:val="none"/>
        </w:rPr>
        <w:t xml:space="preserve">投标供应商自行勘察现场，要求务必认真、仔细阅读合同条款，谨慎报价，严禁恶意竞争和低价中标，一经中标，采购人将严格按照合同条款执行。</w:t>
      </w:r>
      <w:r/>
    </w:p>
    <w:p>
      <w:pPr>
        <w:ind w:firstLine="482"/>
        <w:spacing w:after="0" w:line="480" w:lineRule="exact"/>
        <w:rPr>
          <w:rFonts w:ascii="宋体" w:hAnsi="宋体" w:cs="宋体"/>
          <w:bCs/>
          <w:color w:val="auto"/>
          <w:sz w:val="24"/>
          <w:highlight w:val="none"/>
        </w:rPr>
      </w:pPr>
      <w:r>
        <w:rPr>
          <w:rFonts w:hint="eastAsia" w:ascii="宋体" w:hAnsi="宋体" w:cs="宋体"/>
          <w:bCs/>
          <w:color w:val="auto"/>
          <w:sz w:val="24"/>
          <w:highlight w:val="none"/>
        </w:rPr>
        <w:t xml:space="preserve">3.投标报价应根据投标供应商实际情况自主进行，是采购文件所确定的招标范围内的全部工作内容的价格体现。投标供应商应充分考虑市场风险因素并最大限度地满足采购文件的要求进行报价。</w:t>
      </w:r>
      <w:r/>
    </w:p>
    <w:p>
      <w:pPr>
        <w:ind w:firstLine="482"/>
        <w:spacing w:after="0" w:line="480" w:lineRule="exact"/>
        <w:rPr>
          <w:rFonts w:ascii="宋体" w:hAnsi="宋体" w:cs="宋体"/>
          <w:color w:val="auto"/>
          <w:sz w:val="24"/>
          <w:highlight w:val="none"/>
        </w:rPr>
      </w:pPr>
      <w:r>
        <w:rPr>
          <w:rFonts w:hint="eastAsia" w:ascii="宋体" w:hAnsi="宋体" w:cs="宋体"/>
          <w:bCs/>
          <w:color w:val="auto"/>
          <w:sz w:val="24"/>
          <w:highlight w:val="none"/>
        </w:rPr>
        <w:t xml:space="preserve">4.</w:t>
      </w:r>
      <w:r>
        <w:rPr>
          <w:rFonts w:hint="eastAsia" w:ascii="宋体" w:hAnsi="宋体" w:cs="宋体"/>
          <w:color w:val="auto"/>
          <w:sz w:val="24"/>
          <w:highlight w:val="none"/>
        </w:rPr>
        <w:t xml:space="preserve">根据《财政部关于推动解决政府采购异常低价问题的通知》（财库〔2026〕2号）精神，本项目启动异常低价审查程序：</w:t>
      </w:r>
      <w:r/>
    </w:p>
    <w:p>
      <w:pPr>
        <w:ind w:firstLine="482"/>
        <w:spacing w:after="0" w:line="480" w:lineRule="exact"/>
        <w:tabs>
          <w:tab w:val="left" w:pos="900" w:leader="none"/>
        </w:tabs>
        <w:rPr>
          <w:rFonts w:ascii="宋体" w:hAnsi="宋体"/>
          <w:color w:val="auto"/>
          <w:sz w:val="24"/>
          <w:szCs w:val="21"/>
          <w:highlight w:val="none"/>
        </w:rPr>
      </w:pPr>
      <w:r>
        <w:rPr>
          <w:rFonts w:hint="eastAsia" w:ascii="宋体" w:hAnsi="宋体"/>
          <w:color w:val="auto"/>
          <w:sz w:val="24"/>
          <w:szCs w:val="21"/>
          <w:highlight w:val="none"/>
        </w:rPr>
        <w:t xml:space="preserve">（1）评审过程中出现下列情形之一的，评审委员会应当启动异常低价投标（响应）审查程序：</w:t>
      </w:r>
      <w:r/>
    </w:p>
    <w:p>
      <w:pPr>
        <w:ind w:firstLine="482"/>
        <w:spacing w:after="0" w:line="480" w:lineRule="exact"/>
        <w:tabs>
          <w:tab w:val="left" w:pos="900" w:leader="none"/>
        </w:tabs>
        <w:rPr>
          <w:rFonts w:ascii="宋体" w:hAnsi="宋体"/>
          <w:color w:val="auto"/>
          <w:sz w:val="24"/>
          <w:szCs w:val="21"/>
          <w:highlight w:val="none"/>
        </w:rPr>
      </w:pPr>
      <w:r>
        <w:rPr>
          <w:rFonts w:hint="eastAsia" w:ascii="宋体" w:hAnsi="宋体"/>
          <w:color w:val="auto"/>
          <w:sz w:val="24"/>
          <w:szCs w:val="21"/>
          <w:highlight w:val="none"/>
        </w:rPr>
        <w:t xml:space="preserve">①投标（响应）报价低于全部通过符合性审查投标人投标（响应）报价平均值</w:t>
      </w:r>
      <w:r>
        <w:rPr>
          <w:rFonts w:ascii="宋体" w:hAnsi="宋体"/>
          <w:color w:val="auto"/>
          <w:sz w:val="24"/>
          <w:szCs w:val="21"/>
          <w:highlight w:val="none"/>
        </w:rPr>
        <w:t xml:space="preserve">65</w:t>
      </w:r>
      <w:r>
        <w:rPr>
          <w:rFonts w:hint="eastAsia" w:ascii="宋体" w:hAnsi="宋体"/>
          <w:color w:val="auto"/>
          <w:sz w:val="24"/>
          <w:szCs w:val="21"/>
          <w:highlight w:val="none"/>
        </w:rPr>
        <w:t xml:space="preserve">%的，即投标（响应）报价〈全部通过符合性审查供应商投标（响应）报价平均值×</w:t>
      </w:r>
      <w:r>
        <w:rPr>
          <w:rFonts w:ascii="宋体" w:hAnsi="宋体"/>
          <w:color w:val="auto"/>
          <w:sz w:val="24"/>
          <w:szCs w:val="21"/>
          <w:highlight w:val="none"/>
        </w:rPr>
        <w:t xml:space="preserve">65</w:t>
      </w:r>
      <w:r>
        <w:rPr>
          <w:rFonts w:hint="eastAsia" w:ascii="宋体" w:hAnsi="宋体"/>
          <w:color w:val="auto"/>
          <w:sz w:val="24"/>
          <w:szCs w:val="21"/>
          <w:highlight w:val="none"/>
        </w:rPr>
        <w:t xml:space="preserve">%；</w:t>
      </w:r>
      <w:r/>
    </w:p>
    <w:p>
      <w:pPr>
        <w:ind w:firstLine="482"/>
        <w:spacing w:after="0" w:line="480" w:lineRule="exact"/>
        <w:tabs>
          <w:tab w:val="left" w:pos="900" w:leader="none"/>
        </w:tabs>
        <w:rPr>
          <w:rFonts w:ascii="宋体" w:hAnsi="宋体"/>
          <w:color w:val="auto"/>
          <w:sz w:val="24"/>
          <w:szCs w:val="21"/>
          <w:highlight w:val="none"/>
        </w:rPr>
      </w:pPr>
      <w:r>
        <w:rPr>
          <w:rFonts w:hint="eastAsia" w:ascii="宋体" w:hAnsi="宋体"/>
          <w:color w:val="auto"/>
          <w:sz w:val="24"/>
          <w:szCs w:val="21"/>
          <w:highlight w:val="none"/>
        </w:rPr>
        <w:t xml:space="preserve">②投标（响应）报价低于通过符合性审查的次低报价供应商投标（响应）报价6</w:t>
      </w:r>
      <w:r>
        <w:rPr>
          <w:rFonts w:ascii="宋体" w:hAnsi="宋体"/>
          <w:color w:val="auto"/>
          <w:sz w:val="24"/>
          <w:szCs w:val="21"/>
          <w:highlight w:val="none"/>
        </w:rPr>
        <w:t xml:space="preserve">5</w:t>
      </w:r>
      <w:r>
        <w:rPr>
          <w:rFonts w:hint="eastAsia" w:ascii="宋体" w:hAnsi="宋体"/>
          <w:color w:val="auto"/>
          <w:sz w:val="24"/>
          <w:szCs w:val="21"/>
          <w:highlight w:val="none"/>
        </w:rPr>
        <w:t xml:space="preserve">%的，即投标（响应）报价〈通过符合性审查的次低报价供应商投标（响应）报价×</w:t>
      </w:r>
      <w:r>
        <w:rPr>
          <w:rFonts w:ascii="宋体" w:hAnsi="宋体"/>
          <w:color w:val="auto"/>
          <w:sz w:val="24"/>
          <w:szCs w:val="21"/>
          <w:highlight w:val="none"/>
        </w:rPr>
        <w:t xml:space="preserve">65</w:t>
      </w:r>
      <w:r>
        <w:rPr>
          <w:rFonts w:hint="eastAsia" w:ascii="宋体" w:hAnsi="宋体"/>
          <w:color w:val="auto"/>
          <w:sz w:val="24"/>
          <w:szCs w:val="21"/>
          <w:highlight w:val="none"/>
        </w:rPr>
        <w:t xml:space="preserve">%；</w:t>
      </w:r>
      <w:r/>
    </w:p>
    <w:p>
      <w:pPr>
        <w:ind w:firstLine="482"/>
        <w:spacing w:after="0" w:line="480" w:lineRule="exact"/>
        <w:tabs>
          <w:tab w:val="left" w:pos="900" w:leader="none"/>
        </w:tabs>
        <w:rPr>
          <w:rFonts w:ascii="宋体" w:hAnsi="宋体"/>
          <w:color w:val="auto"/>
          <w:sz w:val="24"/>
          <w:szCs w:val="21"/>
          <w:highlight w:val="none"/>
        </w:rPr>
      </w:pPr>
      <w:r>
        <w:rPr>
          <w:rFonts w:hint="eastAsia" w:ascii="宋体" w:hAnsi="宋体"/>
          <w:color w:val="auto"/>
          <w:sz w:val="24"/>
          <w:szCs w:val="21"/>
          <w:highlight w:val="none"/>
        </w:rPr>
        <w:t xml:space="preserve">③投标（响应）报价低于采购项目最高限价</w:t>
      </w:r>
      <w:r>
        <w:rPr>
          <w:rFonts w:ascii="宋体" w:hAnsi="宋体"/>
          <w:color w:val="auto"/>
          <w:sz w:val="24"/>
          <w:szCs w:val="21"/>
          <w:highlight w:val="none"/>
        </w:rPr>
        <w:t xml:space="preserve">6</w:t>
      </w:r>
      <w:r>
        <w:rPr>
          <w:rFonts w:hint="eastAsia" w:ascii="宋体" w:hAnsi="宋体"/>
          <w:color w:val="auto"/>
          <w:sz w:val="24"/>
          <w:szCs w:val="21"/>
          <w:highlight w:val="none"/>
        </w:rPr>
        <w:t xml:space="preserve">5%的，即投标（响应）报价〈采购项目最高限价×65%；</w:t>
      </w:r>
      <w:r/>
    </w:p>
    <w:p>
      <w:pPr>
        <w:ind w:firstLine="482"/>
        <w:spacing w:after="0" w:line="480" w:lineRule="exact"/>
        <w:tabs>
          <w:tab w:val="left" w:pos="900" w:leader="none"/>
        </w:tabs>
        <w:rPr>
          <w:rFonts w:ascii="宋体" w:hAnsi="宋体"/>
          <w:color w:val="auto"/>
          <w:sz w:val="24"/>
          <w:szCs w:val="21"/>
          <w:highlight w:val="none"/>
        </w:rPr>
      </w:pPr>
      <w:r>
        <w:rPr>
          <w:rFonts w:hint="eastAsia" w:ascii="宋体" w:hAnsi="宋体"/>
          <w:color w:val="auto"/>
          <w:sz w:val="24"/>
          <w:szCs w:val="21"/>
          <w:highlight w:val="none"/>
        </w:rPr>
        <w:t xml:space="preserve">④评审委员会基于专业判断，认为供应商报价过低，有可能影响产品质量或者不能诚信履约的其他情形。</w:t>
      </w:r>
      <w:r/>
    </w:p>
    <w:p>
      <w:pPr>
        <w:ind w:firstLine="482"/>
        <w:spacing w:after="0" w:line="480" w:lineRule="exact"/>
        <w:tabs>
          <w:tab w:val="left" w:pos="900" w:leader="none"/>
        </w:tabs>
        <w:rPr>
          <w:rFonts w:ascii="宋体" w:hAnsi="宋体"/>
          <w:color w:val="auto"/>
          <w:sz w:val="24"/>
          <w:szCs w:val="21"/>
          <w:highlight w:val="none"/>
        </w:rPr>
      </w:pPr>
      <w:r>
        <w:rPr>
          <w:rFonts w:hint="eastAsia" w:ascii="宋体" w:hAnsi="宋体"/>
          <w:color w:val="auto"/>
          <w:sz w:val="24"/>
          <w:szCs w:val="21"/>
          <w:highlight w:val="none"/>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firstLine="482"/>
        <w:spacing w:after="0" w:line="480" w:lineRule="exact"/>
        <w:tabs>
          <w:tab w:val="left" w:pos="900" w:leader="none"/>
        </w:tabs>
        <w:rPr>
          <w:rFonts w:ascii="宋体" w:hAnsi="宋体"/>
          <w:color w:val="auto"/>
          <w:sz w:val="24"/>
          <w:szCs w:val="21"/>
          <w:highlight w:val="none"/>
        </w:rPr>
      </w:pPr>
      <w:r>
        <w:rPr>
          <w:rFonts w:hint="eastAsia" w:ascii="宋体" w:hAnsi="宋体"/>
          <w:color w:val="auto"/>
          <w:sz w:val="24"/>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after="0" w:line="480" w:lineRule="exact"/>
        <w:tabs>
          <w:tab w:val="left" w:pos="900" w:leader="none"/>
        </w:tabs>
        <w:rPr>
          <w:rFonts w:ascii="宋体" w:hAnsi="宋体"/>
          <w:color w:val="auto"/>
          <w:sz w:val="24"/>
          <w:szCs w:val="21"/>
          <w:highlight w:val="none"/>
        </w:rPr>
      </w:pPr>
      <w:r>
        <w:rPr>
          <w:rFonts w:hint="eastAsia" w:ascii="宋体" w:hAnsi="宋体"/>
          <w:color w:val="auto"/>
          <w:sz w:val="24"/>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after="0" w:line="480" w:lineRule="exact"/>
        <w:tabs>
          <w:tab w:val="left" w:pos="900" w:leader="none"/>
        </w:tabs>
        <w:rPr>
          <w:rFonts w:ascii="宋体" w:hAnsi="宋体"/>
          <w:color w:val="auto"/>
          <w:sz w:val="24"/>
          <w:szCs w:val="21"/>
          <w:highlight w:val="none"/>
        </w:rPr>
      </w:pPr>
      <w:r>
        <w:rPr>
          <w:rFonts w:hint="eastAsia" w:ascii="宋体" w:hAnsi="宋体"/>
          <w:color w:val="auto"/>
          <w:sz w:val="24"/>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66"/>
        <w:jc w:val="both"/>
        <w:keepLines w:val="0"/>
        <w:keepNext w:val="0"/>
        <w:spacing w:before="0" w:after="0"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六、支付方式</w:t>
      </w:r>
      <w:r/>
    </w:p>
    <w:p>
      <w:pPr>
        <w:ind w:firstLine="420"/>
        <w:spacing w:after="0" w:line="480" w:lineRule="exact"/>
        <w:rPr>
          <w:color w:val="auto"/>
          <w:sz w:val="24"/>
          <w:highlight w:val="none"/>
        </w:rPr>
      </w:pPr>
      <w:r>
        <w:rPr>
          <w:rFonts w:hint="eastAsia"/>
          <w:color w:val="auto"/>
          <w:sz w:val="24"/>
          <w:highlight w:val="none"/>
        </w:rPr>
        <w:t xml:space="preserve">合同项下所有款项均以人民币支付。</w:t>
      </w:r>
      <w:r/>
    </w:p>
    <w:p>
      <w:pPr>
        <w:ind w:firstLine="420"/>
        <w:spacing w:after="0" w:line="480" w:lineRule="exact"/>
        <w:rPr>
          <w:color w:val="auto"/>
          <w:sz w:val="24"/>
          <w:highlight w:val="none"/>
        </w:rPr>
      </w:pPr>
      <w:r>
        <w:rPr>
          <w:rFonts w:hint="eastAsia"/>
          <w:color w:val="auto"/>
          <w:sz w:val="24"/>
          <w:highlight w:val="none"/>
        </w:rPr>
        <w:t xml:space="preserve">付款方式：</w:t>
      </w:r>
      <w:r/>
    </w:p>
    <w:p>
      <w:pPr>
        <w:ind w:firstLine="420"/>
        <w:spacing w:after="0" w:line="480" w:lineRule="exact"/>
        <w:rPr>
          <w:rFonts w:ascii="宋体" w:hAnsi="宋体" w:cs="宋体"/>
          <w:bCs/>
          <w:color w:val="auto"/>
          <w:sz w:val="24"/>
          <w:highlight w:val="none"/>
        </w:rPr>
      </w:pPr>
      <w:r>
        <w:rPr>
          <w:rFonts w:hint="eastAsia"/>
          <w:color w:val="auto"/>
          <w:sz w:val="24"/>
          <w:highlight w:val="none"/>
        </w:rPr>
        <w:t xml:space="preserve">1</w:t>
      </w:r>
      <w:r>
        <w:rPr>
          <w:color w:val="auto"/>
          <w:sz w:val="24"/>
          <w:highlight w:val="none"/>
        </w:rPr>
        <w:t xml:space="preserve">.</w:t>
      </w:r>
      <w:r>
        <w:rPr>
          <w:rFonts w:hint="eastAsia" w:ascii="宋体" w:hAnsi="宋体" w:cs="宋体"/>
          <w:color w:val="auto"/>
          <w:sz w:val="24"/>
          <w:highlight w:val="none"/>
        </w:rPr>
        <w:t xml:space="preserve">费用支付采取按季度考核支付的方式，分四次支付。原则上每季度根据考核结果支付一次。</w:t>
      </w:r>
      <w:r/>
    </w:p>
    <w:p>
      <w:pPr>
        <w:ind w:firstLine="420"/>
        <w:spacing w:after="0" w:line="480" w:lineRule="exact"/>
        <w:rPr>
          <w:color w:val="auto"/>
          <w:sz w:val="24"/>
          <w:highlight w:val="none"/>
        </w:rPr>
      </w:pPr>
      <w:r>
        <w:rPr>
          <w:rFonts w:hint="eastAsia"/>
          <w:color w:val="auto"/>
          <w:sz w:val="24"/>
          <w:highlight w:val="none"/>
        </w:rPr>
        <w:t xml:space="preserve">2</w:t>
      </w:r>
      <w:r>
        <w:rPr>
          <w:color w:val="auto"/>
          <w:sz w:val="24"/>
          <w:highlight w:val="none"/>
        </w:rPr>
        <w:t xml:space="preserve">.</w:t>
      </w:r>
      <w:r>
        <w:rPr>
          <w:rFonts w:hint="eastAsia" w:ascii="宋体" w:hAnsi="宋体"/>
          <w:color w:val="auto"/>
          <w:sz w:val="24"/>
          <w:highlight w:val="none"/>
        </w:rPr>
        <w:t xml:space="preserve">成交供应商确认如下银行账户作为收取养护费的指定账户，采购人应当通过银行转账的形式将养护费支付至如下账户：</w:t>
      </w:r>
      <w:r/>
    </w:p>
    <w:p>
      <w:pPr>
        <w:ind w:firstLine="480"/>
        <w:spacing w:after="0" w:line="480" w:lineRule="exact"/>
        <w:rPr>
          <w:rFonts w:ascii="宋体" w:hAnsi="宋体"/>
          <w:color w:val="auto"/>
          <w:sz w:val="24"/>
          <w:highlight w:val="none"/>
        </w:rPr>
      </w:pPr>
      <w:r>
        <w:rPr>
          <w:rFonts w:hint="eastAsia" w:ascii="宋体" w:hAnsi="宋体"/>
          <w:color w:val="auto"/>
          <w:sz w:val="24"/>
          <w:highlight w:val="none"/>
        </w:rPr>
        <w:t xml:space="preserve">开户行：〔 </w:t>
      </w:r>
      <w:r>
        <w:rPr>
          <w:rFonts w:ascii="宋体" w:hAnsi="宋体"/>
          <w:color w:val="auto"/>
          <w:sz w:val="24"/>
          <w:highlight w:val="none"/>
        </w:rPr>
        <w:t xml:space="preserve">       </w:t>
      </w:r>
      <w:r>
        <w:rPr>
          <w:rFonts w:hint="eastAsia" w:ascii="宋体" w:hAnsi="宋体"/>
          <w:color w:val="auto"/>
          <w:sz w:val="24"/>
          <w:highlight w:val="none"/>
        </w:rPr>
        <w:t xml:space="preserve">〕</w:t>
      </w:r>
      <w:r/>
    </w:p>
    <w:p>
      <w:pPr>
        <w:ind w:firstLine="480"/>
        <w:spacing w:after="0" w:line="480" w:lineRule="exact"/>
        <w:rPr>
          <w:rFonts w:ascii="宋体" w:hAnsi="宋体"/>
          <w:color w:val="auto"/>
          <w:sz w:val="24"/>
          <w:highlight w:val="none"/>
        </w:rPr>
      </w:pPr>
      <w:r>
        <w:rPr>
          <w:rFonts w:hint="eastAsia" w:ascii="宋体" w:hAnsi="宋体"/>
          <w:color w:val="auto"/>
          <w:sz w:val="24"/>
          <w:highlight w:val="none"/>
        </w:rPr>
        <w:t xml:space="preserve">户 </w:t>
      </w:r>
      <w:r>
        <w:rPr>
          <w:rFonts w:ascii="宋体" w:hAnsi="宋体"/>
          <w:color w:val="auto"/>
          <w:sz w:val="24"/>
          <w:highlight w:val="none"/>
        </w:rPr>
        <w:t xml:space="preserve"> </w:t>
      </w:r>
      <w:r>
        <w:rPr>
          <w:rFonts w:hint="eastAsia" w:ascii="宋体" w:hAnsi="宋体"/>
          <w:color w:val="auto"/>
          <w:sz w:val="24"/>
          <w:highlight w:val="none"/>
        </w:rPr>
        <w:t xml:space="preserve">名：〔 </w:t>
      </w:r>
      <w:r>
        <w:rPr>
          <w:rFonts w:ascii="宋体" w:hAnsi="宋体"/>
          <w:color w:val="auto"/>
          <w:sz w:val="24"/>
          <w:highlight w:val="none"/>
        </w:rPr>
        <w:t xml:space="preserve">       </w:t>
      </w:r>
      <w:r>
        <w:rPr>
          <w:rFonts w:hint="eastAsia" w:ascii="宋体" w:hAnsi="宋体"/>
          <w:color w:val="auto"/>
          <w:sz w:val="24"/>
          <w:highlight w:val="none"/>
        </w:rPr>
        <w:t xml:space="preserve">〕</w:t>
      </w:r>
      <w:r/>
    </w:p>
    <w:p>
      <w:pPr>
        <w:ind w:firstLine="480"/>
        <w:spacing w:after="0" w:line="480" w:lineRule="exact"/>
        <w:rPr>
          <w:rFonts w:ascii="宋体" w:hAnsi="宋体"/>
          <w:color w:val="auto"/>
          <w:sz w:val="24"/>
          <w:highlight w:val="none"/>
        </w:rPr>
      </w:pPr>
      <w:r>
        <w:rPr>
          <w:rFonts w:hint="eastAsia" w:ascii="宋体" w:hAnsi="宋体"/>
          <w:color w:val="auto"/>
          <w:sz w:val="24"/>
          <w:highlight w:val="none"/>
        </w:rPr>
        <w:t xml:space="preserve">账 </w:t>
      </w:r>
      <w:r>
        <w:rPr>
          <w:rFonts w:ascii="宋体" w:hAnsi="宋体"/>
          <w:color w:val="auto"/>
          <w:sz w:val="24"/>
          <w:highlight w:val="none"/>
        </w:rPr>
        <w:t xml:space="preserve"> </w:t>
      </w:r>
      <w:r>
        <w:rPr>
          <w:rFonts w:hint="eastAsia" w:ascii="宋体" w:hAnsi="宋体"/>
          <w:color w:val="auto"/>
          <w:sz w:val="24"/>
          <w:highlight w:val="none"/>
        </w:rPr>
        <w:t xml:space="preserve">号：〔 </w:t>
      </w:r>
      <w:r>
        <w:rPr>
          <w:rFonts w:ascii="宋体" w:hAnsi="宋体"/>
          <w:color w:val="auto"/>
          <w:sz w:val="24"/>
          <w:highlight w:val="none"/>
        </w:rPr>
        <w:t xml:space="preserve">       </w:t>
      </w:r>
      <w:r>
        <w:rPr>
          <w:rFonts w:hint="eastAsia" w:ascii="宋体" w:hAnsi="宋体"/>
          <w:color w:val="auto"/>
          <w:sz w:val="24"/>
          <w:highlight w:val="none"/>
        </w:rPr>
        <w:t xml:space="preserve">〕</w:t>
      </w:r>
      <w:r/>
    </w:p>
    <w:p>
      <w:pPr>
        <w:pStyle w:val="966"/>
        <w:jc w:val="both"/>
        <w:keepLines w:val="0"/>
        <w:keepNext w:val="0"/>
        <w:spacing w:before="0" w:after="0" w:line="480" w:lineRule="exact"/>
        <w:rPr>
          <w:rFonts w:ascii="宋体" w:hAnsi="宋体" w:eastAsia="宋体" w:cs="宋体"/>
          <w:color w:val="auto"/>
          <w:sz w:val="24"/>
          <w:szCs w:val="24"/>
          <w:highlight w:val="none"/>
        </w:rPr>
      </w:pPr>
      <w:r/>
      <w:bookmarkStart w:id="128" w:name="_Hlk241077855"/>
      <w:r>
        <w:rPr>
          <w:rFonts w:hint="eastAsia" w:ascii="宋体" w:hAnsi="宋体" w:eastAsia="宋体" w:cs="宋体"/>
          <w:color w:val="auto"/>
          <w:sz w:val="24"/>
          <w:szCs w:val="24"/>
          <w:highlight w:val="none"/>
        </w:rPr>
        <w:t xml:space="preserve">七、现场勘查</w:t>
      </w:r>
      <w:r/>
    </w:p>
    <w:p>
      <w:pPr>
        <w:ind w:firstLine="482"/>
        <w:spacing w:after="0" w:line="480" w:lineRule="exact"/>
        <w:rPr>
          <w:color w:val="auto"/>
          <w:sz w:val="24"/>
          <w:highlight w:val="none"/>
        </w:rPr>
      </w:pPr>
      <w:r>
        <w:rPr>
          <w:rFonts w:hint="eastAsia"/>
          <w:color w:val="auto"/>
          <w:sz w:val="24"/>
          <w:highlight w:val="none"/>
        </w:rPr>
        <w:t xml:space="preserve">本次采购不组织集中勘查现场。供应商可自行踏勘现场，踏勘相关风险及后果由供应商自行承担，具体详见第二章参加磋商的供应商须知 “现场踏勘” 相关条款。</w:t>
      </w:r>
      <w:r/>
    </w:p>
    <w:p>
      <w:pPr>
        <w:jc w:val="left"/>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bookmarkEnd w:id="128"/>
      <w:r/>
    </w:p>
    <w:p>
      <w:pPr>
        <w:jc w:val="left"/>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br w:type="page" w:clear="all"/>
      </w:r>
      <w:r/>
    </w:p>
    <w:p>
      <w:pPr>
        <w:jc w:val="left"/>
        <w:keepLines w:val="0"/>
        <w:keepNext w:val="0"/>
        <w:pageBreakBefore w:val="0"/>
        <w:spacing w:after="0" w:line="240" w:lineRule="auto"/>
        <w:widowControl w:val="off"/>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附件《绿雕养护季度考核细则》</w:t>
      </w:r>
      <w:r/>
    </w:p>
    <w:p>
      <w:pPr>
        <w:ind w:left="121" w:right="309"/>
        <w:jc w:val="center"/>
        <w:keepLines w:val="0"/>
        <w:keepNext w:val="0"/>
        <w:pageBreakBefore w:val="0"/>
        <w:spacing w:before="20" w:after="0" w:line="240" w:lineRule="auto"/>
        <w:widowControl w:val="off"/>
        <w:rPr>
          <w:b/>
          <w:color w:val="auto"/>
          <w:sz w:val="32"/>
          <w:szCs w:val="44"/>
          <w:highlight w:val="none"/>
        </w:rPr>
      </w:pPr>
      <w:r>
        <w:rPr>
          <w:rFonts w:hint="eastAsia"/>
          <w:b/>
          <w:color w:val="auto"/>
          <w:sz w:val="32"/>
          <w:szCs w:val="44"/>
          <w:highlight w:val="none"/>
        </w:rPr>
        <w:t xml:space="preserve">绿雕养护季度考核细则</w:t>
      </w:r>
      <w:r/>
    </w:p>
    <w:tbl>
      <w:tblPr>
        <w:tblStyle w:val="975"/>
        <w:tblW w:w="107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1701"/>
        <w:gridCol w:w="4250"/>
        <w:gridCol w:w="1217"/>
        <w:gridCol w:w="1742"/>
        <w:gridCol w:w="1242"/>
      </w:tblGrid>
      <w:tr>
        <w:trPr>
          <w:jc w:val="center"/>
          <w:trHeight w:val="613"/>
        </w:trPr>
        <w:tc>
          <w:tcPr>
            <w:tcW w:w="605"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gridSpan w:val="2"/>
            <w:tcW w:w="5951"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检查内容</w:t>
            </w:r>
            <w:r/>
          </w:p>
        </w:tc>
        <w:tc>
          <w:tcPr>
            <w:tcW w:w="1217"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标准分值（分）</w:t>
            </w:r>
            <w:r/>
          </w:p>
        </w:tc>
        <w:tc>
          <w:tcPr>
            <w:tcW w:w="1742"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扣分标准</w:t>
            </w:r>
            <w:r/>
          </w:p>
        </w:tc>
        <w:tc>
          <w:tcPr>
            <w:tcW w:w="1242"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考核得分（分）</w:t>
            </w:r>
            <w:r/>
          </w:p>
        </w:tc>
      </w:tr>
      <w:tr>
        <w:trPr>
          <w:jc w:val="center"/>
          <w:trHeight w:val="1069"/>
        </w:trPr>
        <w:tc>
          <w:tcPr>
            <w:tcW w:w="605"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w:t>
            </w:r>
            <w:r/>
          </w:p>
        </w:tc>
        <w:tc>
          <w:tcPr>
            <w:gridSpan w:val="2"/>
            <w:tcW w:w="5951" w:type="dxa"/>
            <w:vAlign w:val="center"/>
            <w:textDirection w:val="lrTb"/>
            <w:noWrap w:val="false"/>
          </w:tcPr>
          <w:p>
            <w:pP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花卉要求品种新颖，设计方案美观、组合方式有创意，保证配植合理，换花及时，四季有花，花开不断。同一品种的花卉，应确保规格一致，花期整齐，图案美观，整体景观效果好。</w:t>
            </w:r>
            <w:r/>
          </w:p>
        </w:tc>
        <w:tc>
          <w:tcPr>
            <w:tcW w:w="1217"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1742" w:type="dxa"/>
            <w:vAlign w:val="center"/>
            <w:textDirection w:val="lrTb"/>
            <w:noWrap w:val="false"/>
          </w:tcPr>
          <w:p>
            <w:pPr>
              <w:jc w:val="center"/>
              <w:keepLines w:val="0"/>
              <w:keepNext w:val="0"/>
              <w:pageBreakBefore w:val="0"/>
              <w:spacing w:after="0" w:line="320" w:lineRule="exact"/>
              <w:widowControl w:val="off"/>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每发现一处不合格扣2分。</w:t>
            </w:r>
            <w:r/>
          </w:p>
        </w:tc>
        <w:tc>
          <w:tcPr>
            <w:tcW w:w="1242"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605"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2</w:t>
            </w:r>
            <w:r/>
          </w:p>
        </w:tc>
        <w:tc>
          <w:tcPr>
            <w:gridSpan w:val="2"/>
            <w:tcW w:w="5951" w:type="dxa"/>
            <w:vAlign w:val="center"/>
            <w:textDirection w:val="lrTb"/>
            <w:noWrap w:val="false"/>
          </w:tcPr>
          <w:p>
            <w:pP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植物修剪造型轮廓清晰、自然，高矮一致，表面平整。</w:t>
            </w:r>
            <w:r/>
          </w:p>
        </w:tc>
        <w:tc>
          <w:tcPr>
            <w:tcW w:w="1217"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742"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每发现一处不合格扣1分。</w:t>
            </w:r>
            <w:r/>
          </w:p>
        </w:tc>
        <w:tc>
          <w:tcPr>
            <w:tcW w:w="1242"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605"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3</w:t>
            </w:r>
            <w:r/>
          </w:p>
        </w:tc>
        <w:tc>
          <w:tcPr>
            <w:gridSpan w:val="2"/>
            <w:tcW w:w="5951" w:type="dxa"/>
            <w:vAlign w:val="center"/>
            <w:textDirection w:val="lrTb"/>
            <w:noWrap w:val="false"/>
          </w:tcPr>
          <w:p>
            <w:pP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植株枝叶分布均匀，无枯枝残叶，无影响观赏的空秃缺株。</w:t>
            </w:r>
            <w:r/>
          </w:p>
        </w:tc>
        <w:tc>
          <w:tcPr>
            <w:tcW w:w="1217"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742"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每发现一处不合格扣1分。</w:t>
            </w:r>
            <w:r/>
          </w:p>
        </w:tc>
        <w:tc>
          <w:tcPr>
            <w:tcW w:w="1242"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605"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4</w:t>
            </w:r>
            <w:r/>
          </w:p>
        </w:tc>
        <w:tc>
          <w:tcPr>
            <w:gridSpan w:val="2"/>
            <w:tcW w:w="5951" w:type="dxa"/>
            <w:vAlign w:val="center"/>
            <w:textDirection w:val="lrTb"/>
            <w:noWrap w:val="false"/>
          </w:tcPr>
          <w:p>
            <w:pP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表面无杂草、残花败叶，绿雕表面干净整洁。</w:t>
            </w:r>
            <w:r/>
          </w:p>
        </w:tc>
        <w:tc>
          <w:tcPr>
            <w:tcW w:w="1217"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742"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每发现一处不合格扣1分。</w:t>
            </w:r>
            <w:r/>
          </w:p>
        </w:tc>
        <w:tc>
          <w:tcPr>
            <w:tcW w:w="1242"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605"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5</w:t>
            </w:r>
            <w:r/>
          </w:p>
        </w:tc>
        <w:tc>
          <w:tcPr>
            <w:gridSpan w:val="2"/>
            <w:tcW w:w="5951" w:type="dxa"/>
            <w:vAlign w:val="center"/>
            <w:textDirection w:val="lrTb"/>
            <w:noWrap w:val="false"/>
          </w:tcPr>
          <w:p>
            <w:pP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部分品种或全部品种有衰败迹象时，应在24小时内及时补植或更换。</w:t>
            </w:r>
            <w:r/>
          </w:p>
        </w:tc>
        <w:tc>
          <w:tcPr>
            <w:tcW w:w="1217"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742"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每发现一处不合格扣1分。</w:t>
            </w:r>
            <w:r/>
          </w:p>
        </w:tc>
        <w:tc>
          <w:tcPr>
            <w:tcW w:w="1242"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605"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6</w:t>
            </w:r>
            <w:r/>
          </w:p>
        </w:tc>
        <w:tc>
          <w:tcPr>
            <w:gridSpan w:val="2"/>
            <w:tcW w:w="5951" w:type="dxa"/>
            <w:vAlign w:val="center"/>
            <w:textDirection w:val="lrTb"/>
            <w:noWrap w:val="false"/>
          </w:tcPr>
          <w:p>
            <w:pP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绿雕本身及周边整洁卫生，无影响观瞻的杂物，作业中所产生的园林垃圾清运及时，无各类垃圾。</w:t>
            </w:r>
            <w:r/>
          </w:p>
        </w:tc>
        <w:tc>
          <w:tcPr>
            <w:tcW w:w="1217"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742"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每发现一处不合格扣1分。</w:t>
            </w:r>
            <w:r/>
          </w:p>
        </w:tc>
        <w:tc>
          <w:tcPr>
            <w:tcW w:w="1242"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605"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7</w:t>
            </w:r>
            <w:r/>
          </w:p>
        </w:tc>
        <w:tc>
          <w:tcPr>
            <w:gridSpan w:val="2"/>
            <w:tcW w:w="5951" w:type="dxa"/>
            <w:vAlign w:val="center"/>
            <w:textDirection w:val="lrTb"/>
            <w:noWrap w:val="false"/>
          </w:tcPr>
          <w:p>
            <w:pP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植物生长良好，无缺水萎蔫、无明显病虫害等危害迹象。</w:t>
            </w:r>
            <w:r/>
          </w:p>
        </w:tc>
        <w:tc>
          <w:tcPr>
            <w:tcW w:w="1217"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742"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每发现一处不合格扣1分。</w:t>
            </w:r>
            <w:r/>
          </w:p>
        </w:tc>
        <w:tc>
          <w:tcPr>
            <w:tcW w:w="1242"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605"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8</w:t>
            </w:r>
            <w:r/>
          </w:p>
        </w:tc>
        <w:tc>
          <w:tcPr>
            <w:gridSpan w:val="2"/>
            <w:tcW w:w="5951" w:type="dxa"/>
            <w:vAlign w:val="center"/>
            <w:textDirection w:val="lrTb"/>
            <w:noWrap w:val="false"/>
          </w:tcPr>
          <w:p>
            <w:pP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搭配的花卉植物植株生长健壮，蓬径饱满。</w:t>
            </w:r>
            <w:r/>
          </w:p>
        </w:tc>
        <w:tc>
          <w:tcPr>
            <w:tcW w:w="1217"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742"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每发现一处不合格扣1分。</w:t>
            </w:r>
            <w:r/>
          </w:p>
        </w:tc>
        <w:tc>
          <w:tcPr>
            <w:tcW w:w="1242"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605"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9</w:t>
            </w:r>
            <w:r/>
          </w:p>
        </w:tc>
        <w:tc>
          <w:tcPr>
            <w:gridSpan w:val="2"/>
            <w:tcW w:w="5951" w:type="dxa"/>
            <w:vAlign w:val="center"/>
            <w:textDirection w:val="lrTb"/>
            <w:noWrap w:val="false"/>
          </w:tcPr>
          <w:p>
            <w:pP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立体绿化、花境内土壤肥沃疏松，无杂草、杂物。排水通畅，无积水现象。</w:t>
            </w:r>
            <w:r/>
          </w:p>
        </w:tc>
        <w:tc>
          <w:tcPr>
            <w:tcW w:w="1217"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742"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每发现一处不合格扣1分。</w:t>
            </w:r>
            <w:r/>
          </w:p>
        </w:tc>
        <w:tc>
          <w:tcPr>
            <w:tcW w:w="1242"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605"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w:t>
            </w:r>
            <w:r/>
          </w:p>
        </w:tc>
        <w:tc>
          <w:tcPr>
            <w:gridSpan w:val="2"/>
            <w:tcW w:w="5951" w:type="dxa"/>
            <w:vAlign w:val="center"/>
            <w:textDirection w:val="lrTb"/>
            <w:noWrap w:val="false"/>
          </w:tcPr>
          <w:p>
            <w:pP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常年确保无死株、缺株、残花败叶，无黄土裸露现象。</w:t>
            </w:r>
            <w:r/>
          </w:p>
        </w:tc>
        <w:tc>
          <w:tcPr>
            <w:tcW w:w="1217"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742"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每发现一处不合格扣1分。</w:t>
            </w:r>
            <w:r/>
          </w:p>
        </w:tc>
        <w:tc>
          <w:tcPr>
            <w:tcW w:w="1242"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605"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11</w:t>
            </w:r>
            <w:r/>
          </w:p>
        </w:tc>
        <w:tc>
          <w:tcPr>
            <w:gridSpan w:val="2"/>
            <w:tcW w:w="5951" w:type="dxa"/>
            <w:vAlign w:val="center"/>
            <w:textDirection w:val="lrTb"/>
            <w:noWrap w:val="false"/>
          </w:tcPr>
          <w:p>
            <w:pP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花境容器完整清洁，容器外形、规格、色彩与植物要协调。如有污损，应及时清理、更换。</w:t>
            </w:r>
            <w:r/>
          </w:p>
        </w:tc>
        <w:tc>
          <w:tcPr>
            <w:tcW w:w="1217"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742"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每发现一处不合格扣1分。</w:t>
            </w:r>
            <w:r/>
          </w:p>
        </w:tc>
        <w:tc>
          <w:tcPr>
            <w:tcW w:w="1242"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605"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12</w:t>
            </w:r>
            <w:r/>
          </w:p>
        </w:tc>
        <w:tc>
          <w:tcPr>
            <w:gridSpan w:val="2"/>
            <w:tcW w:w="5951" w:type="dxa"/>
            <w:vAlign w:val="center"/>
            <w:textDirection w:val="lrTb"/>
            <w:noWrap w:val="false"/>
          </w:tcPr>
          <w:p>
            <w:pP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供电照明设施及各类管线保护完好，完整无损、安全无隐患。</w:t>
            </w:r>
            <w:r/>
          </w:p>
        </w:tc>
        <w:tc>
          <w:tcPr>
            <w:tcW w:w="1217"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1742"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每发现一处不合格扣2分。</w:t>
            </w:r>
            <w:r/>
          </w:p>
        </w:tc>
        <w:tc>
          <w:tcPr>
            <w:tcW w:w="1242"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605"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13</w:t>
            </w:r>
            <w:r/>
          </w:p>
        </w:tc>
        <w:tc>
          <w:tcPr>
            <w:gridSpan w:val="2"/>
            <w:tcW w:w="5951" w:type="dxa"/>
            <w:vAlign w:val="center"/>
            <w:textDirection w:val="lrTb"/>
            <w:noWrap w:val="false"/>
          </w:tcPr>
          <w:p>
            <w:pP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防台、防汛及消防等设备完好充足，保证应急使用要求。</w:t>
            </w:r>
            <w:r/>
          </w:p>
        </w:tc>
        <w:tc>
          <w:tcPr>
            <w:tcW w:w="1217"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1742"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每发现一处不合格扣2分。</w:t>
            </w:r>
            <w:r/>
          </w:p>
        </w:tc>
        <w:tc>
          <w:tcPr>
            <w:tcW w:w="1242"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605"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14</w:t>
            </w:r>
            <w:r/>
          </w:p>
        </w:tc>
        <w:tc>
          <w:tcPr>
            <w:gridSpan w:val="2"/>
            <w:tcW w:w="5951" w:type="dxa"/>
            <w:vAlign w:val="center"/>
            <w:textDirection w:val="lrTb"/>
            <w:noWrap w:val="false"/>
          </w:tcPr>
          <w:p>
            <w:pP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根据结构件使用年限，定期维护，定时更新。确保构件设施完好无损，整体安全牢固，无变形扭曲。</w:t>
            </w:r>
            <w:r/>
          </w:p>
        </w:tc>
        <w:tc>
          <w:tcPr>
            <w:tcW w:w="1217"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1742"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每发现一处不合格扣2分。</w:t>
            </w:r>
            <w:r/>
          </w:p>
        </w:tc>
        <w:tc>
          <w:tcPr>
            <w:tcW w:w="1242"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605" w:type="dxa"/>
            <w:vAlign w:val="center"/>
            <w:textDirection w:val="lrTb"/>
            <w:noWrap w:val="false"/>
          </w:tcPr>
          <w:p>
            <w:pPr>
              <w:jc w:val="center"/>
              <w:keepLines w:val="0"/>
              <w:keepNext w:val="0"/>
              <w:pageBreakBefore w:val="0"/>
              <w:spacing w:after="0" w:line="320" w:lineRule="exact"/>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15</w:t>
            </w:r>
            <w:r/>
          </w:p>
        </w:tc>
        <w:tc>
          <w:tcPr>
            <w:gridSpan w:val="2"/>
            <w:tcW w:w="5951" w:type="dxa"/>
            <w:vAlign w:val="center"/>
            <w:textDirection w:val="lrTb"/>
            <w:noWrap w:val="false"/>
          </w:tcPr>
          <w:p>
            <w:pPr>
              <w:keepLines w:val="0"/>
              <w:keepNext w:val="0"/>
              <w:pageBreakBefore w:val="0"/>
              <w:spacing w:after="0" w:line="320" w:lineRule="exact"/>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检查、巡查、养护等图片、文字资料齐全。</w:t>
            </w:r>
            <w:r/>
          </w:p>
        </w:tc>
        <w:tc>
          <w:tcPr>
            <w:tcW w:w="1217"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W w:w="1742"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每发现一处不合格扣1分。</w:t>
            </w:r>
            <w:r/>
          </w:p>
        </w:tc>
        <w:tc>
          <w:tcPr>
            <w:tcW w:w="1242"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605"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6</w:t>
            </w:r>
            <w:r/>
          </w:p>
        </w:tc>
        <w:tc>
          <w:tcPr>
            <w:gridSpan w:val="2"/>
            <w:tcW w:w="5951" w:type="dxa"/>
            <w:vAlign w:val="center"/>
            <w:textDirection w:val="lrTb"/>
            <w:noWrap w:val="false"/>
          </w:tcPr>
          <w:p>
            <w:pP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完成项目范围内突发性和重大性保障工作任务，如文明城市检查、重大活动环境保障、泰州市城市综合治理标准化检查等任务。</w:t>
            </w:r>
            <w:r/>
          </w:p>
        </w:tc>
        <w:tc>
          <w:tcPr>
            <w:tcW w:w="1217"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5</w:t>
            </w:r>
            <w:r/>
          </w:p>
        </w:tc>
        <w:tc>
          <w:tcPr>
            <w:tcW w:w="1742"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每发现一处不合格扣1分。</w:t>
            </w:r>
            <w:r/>
          </w:p>
        </w:tc>
        <w:tc>
          <w:tcPr>
            <w:tcW w:w="1242"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ascii="宋体" w:hAnsi="宋体" w:cs="宋体"/>
                <w:color w:val="auto"/>
                <w:szCs w:val="21"/>
                <w:highlight w:val="none"/>
              </w:rPr>
            </w:r>
            <w:r/>
          </w:p>
        </w:tc>
      </w:tr>
      <w:tr>
        <w:trPr>
          <w:jc w:val="center"/>
          <w:trHeight w:val="627"/>
        </w:trPr>
        <w:tc>
          <w:tcPr>
            <w:tcW w:w="605"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合计</w:t>
            </w:r>
            <w:r/>
          </w:p>
        </w:tc>
        <w:tc>
          <w:tcPr>
            <w:tcW w:w="1701" w:type="dxa"/>
            <w:vAlign w:val="center"/>
            <w:textDirection w:val="lrTb"/>
            <w:noWrap w:val="false"/>
          </w:tcPr>
          <w:p>
            <w:pPr>
              <w:jc w:val="center"/>
              <w:keepLines w:val="0"/>
              <w:keepNext w:val="0"/>
              <w:pageBreakBefore w:val="0"/>
              <w:spacing w:after="0" w:line="32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tc>
        <w:tc>
          <w:tcPr>
            <w:gridSpan w:val="4"/>
            <w:tcW w:w="8451" w:type="dxa"/>
            <w:vAlign w:val="center"/>
            <w:textDirection w:val="lrTb"/>
            <w:noWrap w:val="false"/>
          </w:tcPr>
          <w:p>
            <w:pPr>
              <w:jc w:val="center"/>
              <w:keepLines w:val="0"/>
              <w:keepNext w:val="0"/>
              <w:pageBreakBefore w:val="0"/>
              <w:spacing w:after="0" w:line="320" w:lineRule="exact"/>
              <w:widowControl w:val="off"/>
              <w:rPr>
                <w:rFonts w:ascii="宋体" w:hAnsi="宋体" w:cs="宋体"/>
                <w:color w:val="auto"/>
                <w:szCs w:val="21"/>
                <w:highlight w:val="none"/>
              </w:rPr>
            </w:pPr>
            <w:r>
              <w:rPr>
                <w:rFonts w:hint="eastAsia" w:ascii="宋体" w:hAnsi="宋体" w:cs="宋体"/>
                <w:color w:val="auto"/>
                <w:szCs w:val="21"/>
                <w:highlight w:val="none"/>
                <w:u w:val="single"/>
              </w:rPr>
              <w:t xml:space="preserve">分</w:t>
            </w:r>
            <w:r/>
          </w:p>
        </w:tc>
      </w:tr>
    </w:tbl>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注：考核得分在</w:t>
      </w:r>
      <w:r>
        <w:rPr>
          <w:rFonts w:hint="eastAsia" w:ascii="宋体" w:hAnsi="宋体" w:eastAsia="宋体" w:cs="宋体"/>
          <w:color w:val="auto"/>
          <w:sz w:val="22"/>
          <w:szCs w:val="22"/>
          <w:highlight w:val="none"/>
          <w:lang w:val="en-US" w:eastAsia="zh-CN"/>
        </w:rPr>
        <w:t xml:space="preserve">90</w:t>
      </w:r>
      <w:r>
        <w:rPr>
          <w:rFonts w:hint="eastAsia" w:ascii="宋体" w:hAnsi="宋体" w:eastAsia="宋体" w:cs="宋体"/>
          <w:color w:val="auto"/>
          <w:sz w:val="22"/>
          <w:szCs w:val="22"/>
          <w:highlight w:val="none"/>
        </w:rPr>
        <w:t xml:space="preserve">分及以上为“合格”，低于</w:t>
      </w:r>
      <w:r>
        <w:rPr>
          <w:rFonts w:hint="eastAsia" w:ascii="宋体" w:hAnsi="宋体" w:eastAsia="宋体" w:cs="宋体"/>
          <w:color w:val="auto"/>
          <w:sz w:val="22"/>
          <w:szCs w:val="22"/>
          <w:highlight w:val="none"/>
          <w:lang w:val="en-US" w:eastAsia="zh-CN"/>
        </w:rPr>
        <w:t xml:space="preserve">90</w:t>
      </w:r>
      <w:r>
        <w:rPr>
          <w:rFonts w:hint="eastAsia" w:ascii="宋体" w:hAnsi="宋体" w:eastAsia="宋体" w:cs="宋体"/>
          <w:color w:val="auto"/>
          <w:sz w:val="22"/>
          <w:szCs w:val="22"/>
          <w:highlight w:val="none"/>
        </w:rPr>
        <w:t xml:space="preserve">分，每少1分扣服务费</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00元，以此类推。</w:t>
      </w:r>
      <w:r/>
    </w:p>
    <w:p>
      <w:pPr>
        <w:rPr>
          <w:rFonts w:hint="eastAsia" w:ascii="宋体" w:hAnsi="宋体" w:eastAsia="宋体" w:cs="宋体"/>
          <w:color w:val="auto"/>
          <w:sz w:val="22"/>
          <w:szCs w:val="28"/>
          <w:highlight w:val="none"/>
          <w:lang w:val="en-US" w:eastAsia="zh-CN"/>
        </w:rPr>
      </w:pPr>
      <w:r>
        <w:rPr>
          <w:rFonts w:hint="eastAsia" w:ascii="宋体" w:hAnsi="宋体" w:eastAsia="宋体" w:cs="宋体"/>
          <w:b/>
          <w:color w:val="auto"/>
          <w:sz w:val="22"/>
          <w:szCs w:val="22"/>
          <w:highlight w:val="none"/>
          <w:lang w:val="en-US" w:eastAsia="zh-CN"/>
        </w:rPr>
        <w:t xml:space="preserve">养护单位负责人（签字）：</w:t>
      </w:r>
      <w:r>
        <w:rPr>
          <w:rFonts w:hint="eastAsia" w:ascii="宋体" w:hAnsi="宋体" w:eastAsia="宋体" w:cs="宋体"/>
          <w:b/>
          <w:color w:val="auto"/>
          <w:sz w:val="22"/>
          <w:szCs w:val="22"/>
          <w:highlight w:val="none"/>
        </w:rPr>
        <w:t xml:space="preserve">   </w:t>
      </w:r>
      <w:r>
        <w:rPr>
          <w:rFonts w:hint="eastAsia" w:ascii="宋体" w:hAnsi="宋体" w:eastAsia="宋体" w:cs="宋体"/>
          <w:b/>
          <w:color w:val="auto"/>
          <w:sz w:val="22"/>
          <w:szCs w:val="22"/>
          <w:highlight w:val="none"/>
          <w:lang w:val="en-US" w:eastAsia="zh-CN"/>
        </w:rPr>
        <w:t xml:space="preserve">                  监管单位负责人（签字）：</w:t>
      </w:r>
      <w:bookmarkEnd w:id="114"/>
      <w:bookmarkEnd w:id="115"/>
      <w:r/>
    </w:p>
    <w:p>
      <w:pPr>
        <w:pStyle w:val="965"/>
        <w:numPr>
          <w:ilvl w:val="0"/>
          <w:numId w:val="1"/>
        </w:numPr>
        <w:keepLines w:val="0"/>
        <w:keepNext/>
        <w:pageBreakBefore w:val="0"/>
        <w:spacing w:after="0" w:line="360" w:lineRule="auto"/>
        <w:widowControl w:val="off"/>
        <w:rPr>
          <w:color w:val="auto"/>
          <w:sz w:val="32"/>
          <w:szCs w:val="32"/>
          <w:highlight w:val="none"/>
        </w:rPr>
      </w:pPr>
      <w:r/>
      <w:bookmarkStart w:id="129" w:name="_Toc10158"/>
      <w:r>
        <w:rPr>
          <w:rFonts w:hint="eastAsia"/>
          <w:color w:val="auto"/>
          <w:sz w:val="32"/>
          <w:szCs w:val="32"/>
          <w:highlight w:val="none"/>
        </w:rPr>
        <w:t xml:space="preserve">评审方法和评审标准</w:t>
      </w:r>
      <w:bookmarkEnd w:id="129"/>
      <w:r/>
      <w:r/>
    </w:p>
    <w:p>
      <w:pPr>
        <w:ind w:firstLine="480"/>
        <w:spacing w:after="0" w:line="480" w:lineRule="exact"/>
        <w:tabs>
          <w:tab w:val="left" w:pos="900" w:leader="none"/>
        </w:tabs>
        <w:rPr>
          <w:rFonts w:hint="eastAsia" w:ascii="宋体" w:hAnsi="宋体" w:eastAsia="宋体" w:cs="Times New Roman"/>
          <w:b/>
          <w:color w:val="auto"/>
          <w:sz w:val="24"/>
          <w:highlight w:val="none"/>
        </w:rPr>
      </w:pPr>
      <w:r/>
      <w:bookmarkStart w:id="130" w:name="_Toc31610"/>
      <w:r>
        <w:rPr>
          <w:rFonts w:hint="eastAsia" w:ascii="宋体" w:hAnsi="宋体" w:eastAsia="宋体" w:cs="Times New Roman"/>
          <w:b/>
          <w:color w:val="auto"/>
          <w:sz w:val="24"/>
          <w:highlight w:val="none"/>
        </w:rPr>
        <w:t xml:space="preserve">一、评审方法</w:t>
      </w:r>
      <w:r/>
    </w:p>
    <w:p>
      <w:pPr>
        <w:ind w:firstLine="482"/>
        <w:spacing w:after="0" w:line="480" w:lineRule="exact"/>
        <w:rPr>
          <w:rFonts w:ascii="宋体" w:hAnsi="宋体" w:cs="宋体"/>
          <w:color w:val="auto"/>
          <w:sz w:val="24"/>
          <w:highlight w:val="none"/>
        </w:rPr>
      </w:pPr>
      <w:r>
        <w:rPr>
          <w:rFonts w:hint="eastAsia" w:ascii="宋体" w:hAnsi="宋体" w:cs="宋体"/>
          <w:color w:val="auto"/>
          <w:sz w:val="24"/>
          <w:highlight w:val="none"/>
        </w:rPr>
        <w:t xml:space="preserve">1.评审方法采用综合评分法，总分值为100分。</w:t>
      </w:r>
      <w:r/>
    </w:p>
    <w:p>
      <w:pPr>
        <w:ind w:firstLine="482"/>
        <w:spacing w:after="0" w:line="480" w:lineRule="exact"/>
        <w:rPr>
          <w:rFonts w:ascii="宋体" w:hAnsi="宋体" w:cs="宋体"/>
          <w:color w:val="auto"/>
          <w:sz w:val="24"/>
          <w:highlight w:val="none"/>
        </w:rPr>
      </w:pPr>
      <w:r>
        <w:rPr>
          <w:rFonts w:hint="eastAsia" w:ascii="宋体" w:hAnsi="宋体" w:cs="宋体"/>
          <w:color w:val="auto"/>
          <w:sz w:val="24"/>
          <w:highlight w:val="none"/>
        </w:rPr>
        <w:t xml:space="preserve">2.评审时，对每个有效投标供应商的投标响应文件进行评分，对评委的评分进行统计汇总，按算术平均方法计算出每个投标供应商的评审得分。（分值采用“四舍五入”法，保留小数点后2位）</w:t>
      </w:r>
      <w:r/>
    </w:p>
    <w:p>
      <w:pPr>
        <w:ind w:firstLine="482"/>
        <w:spacing w:after="0" w:line="480" w:lineRule="exact"/>
        <w:rPr>
          <w:rFonts w:ascii="宋体" w:hAnsi="宋体" w:cs="宋体"/>
          <w:color w:val="auto"/>
          <w:sz w:val="24"/>
          <w:highlight w:val="none"/>
        </w:rPr>
      </w:pPr>
      <w:r>
        <w:rPr>
          <w:rFonts w:hint="eastAsia" w:ascii="宋体" w:hAnsi="宋体" w:cs="宋体"/>
          <w:color w:val="auto"/>
          <w:sz w:val="24"/>
          <w:highlight w:val="none"/>
        </w:rPr>
        <w:t xml:space="preserve">3.评标结果按评审后得分由高到低顺序排列。得分相同的，按投标报价由低到高顺序排列。得分且投标报价相同的</w:t>
      </w:r>
      <w:r>
        <w:rPr>
          <w:rFonts w:hint="eastAsia"/>
          <w:color w:val="auto"/>
          <w:sz w:val="24"/>
          <w:highlight w:val="none"/>
        </w:rPr>
        <w:t xml:space="preserve">按照技术指标优劣顺序推荐</w:t>
      </w:r>
      <w:r>
        <w:rPr>
          <w:rFonts w:hint="eastAsia" w:ascii="宋体" w:hAnsi="宋体" w:cs="宋体"/>
          <w:color w:val="auto"/>
          <w:sz w:val="24"/>
          <w:highlight w:val="none"/>
        </w:rPr>
        <w:t xml:space="preserve">。投标文件满足</w:t>
      </w:r>
      <w:r>
        <w:rPr>
          <w:rFonts w:hint="eastAsia"/>
          <w:color w:val="auto"/>
          <w:sz w:val="24"/>
          <w:highlight w:val="none"/>
        </w:rPr>
        <w:t xml:space="preserve">磋商</w:t>
      </w:r>
      <w:r>
        <w:rPr>
          <w:rFonts w:hint="eastAsia" w:ascii="宋体" w:hAnsi="宋体" w:cs="宋体"/>
          <w:color w:val="auto"/>
          <w:sz w:val="24"/>
          <w:highlight w:val="none"/>
        </w:rPr>
        <w:t xml:space="preserve">文件全部实质性要求，且按照评审因素的量化指标评审得分最高的投标供应商为成交供应商。如上述因素均相同，则采用抽签方式确定成交候选人的顺序。</w:t>
      </w:r>
      <w:r/>
    </w:p>
    <w:p>
      <w:pPr>
        <w:ind w:firstLine="480"/>
        <w:spacing w:after="0" w:line="480" w:lineRule="exact"/>
        <w:tabs>
          <w:tab w:val="left" w:pos="900" w:leader="none"/>
        </w:tabs>
        <w:rPr>
          <w:rFonts w:ascii="宋体" w:hAnsi="宋体"/>
          <w:b/>
          <w:color w:val="auto"/>
          <w:sz w:val="24"/>
          <w:highlight w:val="none"/>
        </w:rPr>
      </w:pPr>
      <w:r>
        <w:rPr>
          <w:rFonts w:hint="eastAsia" w:ascii="宋体" w:hAnsi="宋体"/>
          <w:b/>
          <w:color w:val="auto"/>
          <w:sz w:val="24"/>
          <w:highlight w:val="none"/>
        </w:rPr>
        <w:t xml:space="preserve">二、评分标准（总分100分）</w:t>
      </w:r>
      <w:r/>
    </w:p>
    <w:tbl>
      <w:tblPr>
        <w:tblStyle w:val="975"/>
        <w:tblW w:w="98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6"/>
        <w:gridCol w:w="1180"/>
        <w:gridCol w:w="7988"/>
      </w:tblGrid>
      <w:tr>
        <w:trPr>
          <w:jc w:val="center"/>
          <w:trHeight w:val="301"/>
        </w:trPr>
        <w:tc>
          <w:tcPr>
            <w:tcMar>
              <w:left w:w="15" w:type="dxa"/>
              <w:top w:w="15" w:type="dxa"/>
              <w:right w:w="15" w:type="dxa"/>
              <w:bottom w:w="0" w:type="dxa"/>
            </w:tcMar>
            <w:tcW w:w="656" w:type="dxa"/>
            <w:vAlign w:val="center"/>
            <w:textDirection w:val="lrTb"/>
            <w:noWrap w:val="false"/>
          </w:tcPr>
          <w:p>
            <w:pPr>
              <w:jc w:val="center"/>
              <w:keepLines w:val="0"/>
              <w:keepNext w:val="0"/>
              <w:pageBreakBefore w:val="0"/>
              <w:spacing w:after="0" w:line="300" w:lineRule="exact"/>
              <w:widowControl w:val="off"/>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Mar>
              <w:left w:w="15" w:type="dxa"/>
              <w:top w:w="15" w:type="dxa"/>
              <w:right w:w="15" w:type="dxa"/>
              <w:bottom w:w="0" w:type="dxa"/>
            </w:tcMar>
            <w:tcW w:w="1180" w:type="dxa"/>
            <w:vAlign w:val="center"/>
            <w:textDirection w:val="lrTb"/>
            <w:noWrap w:val="false"/>
          </w:tcPr>
          <w:p>
            <w:pPr>
              <w:jc w:val="center"/>
              <w:keepLines w:val="0"/>
              <w:keepNext w:val="0"/>
              <w:pageBreakBefore w:val="0"/>
              <w:spacing w:after="0" w:line="300" w:lineRule="exact"/>
              <w:widowControl w:val="off"/>
              <w:rPr>
                <w:rFonts w:ascii="宋体" w:hAnsi="宋体" w:cs="宋体"/>
                <w:b/>
                <w:color w:val="auto"/>
                <w:sz w:val="24"/>
                <w:highlight w:val="none"/>
              </w:rPr>
            </w:pPr>
            <w:r>
              <w:rPr>
                <w:rFonts w:hint="eastAsia" w:ascii="宋体" w:hAnsi="宋体" w:cs="宋体"/>
                <w:b/>
                <w:color w:val="auto"/>
                <w:sz w:val="24"/>
                <w:highlight w:val="none"/>
              </w:rPr>
              <w:t xml:space="preserve">评审因素</w:t>
            </w:r>
            <w:r/>
          </w:p>
        </w:tc>
        <w:tc>
          <w:tcPr>
            <w:tcMar>
              <w:left w:w="15" w:type="dxa"/>
              <w:top w:w="15" w:type="dxa"/>
              <w:right w:w="15" w:type="dxa"/>
              <w:bottom w:w="0" w:type="dxa"/>
            </w:tcMar>
            <w:tcW w:w="7988" w:type="dxa"/>
            <w:vAlign w:val="center"/>
            <w:textDirection w:val="lrTb"/>
            <w:noWrap w:val="false"/>
          </w:tcPr>
          <w:p>
            <w:pPr>
              <w:jc w:val="center"/>
              <w:keepLines w:val="0"/>
              <w:keepNext w:val="0"/>
              <w:pageBreakBefore w:val="0"/>
              <w:spacing w:after="0" w:line="300" w:lineRule="exact"/>
              <w:widowControl w:val="off"/>
              <w:rPr>
                <w:rFonts w:ascii="宋体" w:hAnsi="宋体" w:cs="宋体"/>
                <w:b/>
                <w:color w:val="auto"/>
                <w:sz w:val="24"/>
                <w:highlight w:val="none"/>
              </w:rPr>
            </w:pPr>
            <w:r>
              <w:rPr>
                <w:rFonts w:hint="eastAsia" w:ascii="宋体" w:hAnsi="宋体" w:cs="宋体"/>
                <w:b/>
                <w:color w:val="auto"/>
                <w:sz w:val="24"/>
                <w:highlight w:val="none"/>
              </w:rPr>
              <w:t xml:space="preserve">评分标准说明</w:t>
            </w:r>
            <w:r/>
          </w:p>
        </w:tc>
      </w:tr>
      <w:tr>
        <w:trPr>
          <w:jc w:val="center"/>
          <w:trHeight w:val="90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56" w:type="dxa"/>
            <w:vAlign w:val="center"/>
            <w:textDirection w:val="lrTb"/>
            <w:noWrap w:val="false"/>
          </w:tcPr>
          <w:p>
            <w:pPr>
              <w:jc w:val="center"/>
              <w:keepLines w:val="0"/>
              <w:keepNext w:val="0"/>
              <w:pageBreakBefore w:val="0"/>
              <w:spacing w:line="28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80" w:type="dxa"/>
            <w:vAlign w:val="center"/>
            <w:textDirection w:val="lrTb"/>
            <w:noWrap w:val="false"/>
          </w:tcPr>
          <w:p>
            <w:pPr>
              <w:jc w:val="center"/>
              <w:keepLines w:val="0"/>
              <w:keepNext w:val="0"/>
              <w:pageBreakBefore w:val="0"/>
              <w:spacing w:line="280" w:lineRule="exact"/>
              <w:rPr>
                <w:rFonts w:ascii="宋体" w:hAnsi="宋体" w:cs="宋体"/>
                <w:color w:val="auto"/>
                <w:spacing w:val="-6"/>
                <w:szCs w:val="21"/>
                <w:highlight w:val="none"/>
              </w:rPr>
            </w:pPr>
            <w:r>
              <w:rPr>
                <w:rFonts w:hint="eastAsia" w:ascii="宋体" w:hAnsi="宋体" w:cs="宋体"/>
                <w:color w:val="auto"/>
                <w:spacing w:val="-6"/>
                <w:szCs w:val="21"/>
                <w:highlight w:val="none"/>
              </w:rPr>
              <w:t xml:space="preserve">投标报价</w:t>
            </w:r>
            <w:r/>
          </w:p>
          <w:p>
            <w:pPr>
              <w:jc w:val="center"/>
              <w:keepLines w:val="0"/>
              <w:keepNext w:val="0"/>
              <w:pageBreakBefore w:val="0"/>
              <w:spacing w:line="280" w:lineRule="exact"/>
              <w:rPr>
                <w:rFonts w:ascii="宋体" w:hAnsi="宋体" w:cs="宋体"/>
                <w:color w:val="auto"/>
                <w:szCs w:val="21"/>
                <w:highlight w:val="none"/>
              </w:rPr>
            </w:pPr>
            <w:r>
              <w:rPr>
                <w:rFonts w:hint="eastAsia" w:ascii="宋体" w:hAnsi="宋体" w:cs="宋体"/>
                <w:color w:val="auto"/>
                <w:spacing w:val="-6"/>
                <w:szCs w:val="21"/>
                <w:highlight w:val="none"/>
              </w:rPr>
              <w:t xml:space="preserve">（</w:t>
            </w:r>
            <w:r>
              <w:rPr>
                <w:rFonts w:ascii="宋体" w:hAnsi="宋体" w:cs="宋体"/>
                <w:color w:val="auto"/>
                <w:spacing w:val="-6"/>
                <w:szCs w:val="21"/>
                <w:highlight w:val="none"/>
              </w:rPr>
              <w:t xml:space="preserve">25</w:t>
            </w:r>
            <w:r>
              <w:rPr>
                <w:rFonts w:hint="eastAsia" w:ascii="宋体" w:hAnsi="宋体" w:cs="宋体"/>
                <w:color w:val="auto"/>
                <w:spacing w:val="-6"/>
                <w:szCs w:val="21"/>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988" w:type="dxa"/>
            <w:vAlign w:val="center"/>
            <w:textDirection w:val="lrTb"/>
            <w:noWrap w:val="false"/>
          </w:tcPr>
          <w:p>
            <w:pPr>
              <w:ind w:firstLine="420"/>
              <w:jc w:val="left"/>
              <w:keepLines w:val="0"/>
              <w:keepNext w:val="0"/>
              <w:pageBreakBefore w:val="0"/>
              <w:spacing w:line="280" w:lineRule="exact"/>
              <w:rPr>
                <w:rFonts w:ascii="宋体" w:hAnsi="宋体" w:cs="宋体"/>
                <w:color w:val="auto"/>
                <w:szCs w:val="21"/>
                <w:highlight w:val="none"/>
              </w:rPr>
            </w:pPr>
            <w:r>
              <w:rPr>
                <w:rFonts w:hint="eastAsia" w:ascii="宋体" w:hAnsi="宋体" w:cs="宋体"/>
                <w:color w:val="auto"/>
                <w:szCs w:val="21"/>
                <w:highlight w:val="none"/>
              </w:rPr>
              <w:t xml:space="preserve">价格分采用低价优先法计算，即满足磋商文件要求且最终报价最低的为评标基准价，其价格分为满分。其他供应商的价格得分统一按照下列公式计算（四舍五入，小数点保留两位）：报价得分=（评标基准价／最终报价）×</w:t>
            </w:r>
            <w:r>
              <w:rPr>
                <w:rFonts w:ascii="宋体" w:hAnsi="宋体" w:cs="宋体"/>
                <w:color w:val="auto"/>
                <w:szCs w:val="21"/>
                <w:highlight w:val="none"/>
              </w:rPr>
              <w:t xml:space="preserve">25</w:t>
            </w:r>
            <w:r>
              <w:rPr>
                <w:rFonts w:hint="eastAsia" w:ascii="宋体" w:hAnsi="宋体" w:cs="宋体"/>
                <w:color w:val="auto"/>
                <w:szCs w:val="21"/>
                <w:highlight w:val="none"/>
              </w:rPr>
              <w:t xml:space="preserve">分。</w:t>
            </w:r>
            <w:r/>
          </w:p>
        </w:tc>
      </w:tr>
      <w:tr>
        <w:trPr>
          <w:jc w:val="center"/>
          <w:trHeight w:val="2357"/>
        </w:trPr>
        <w:tc>
          <w:tcPr>
            <w:tcMar>
              <w:left w:w="15" w:type="dxa"/>
              <w:top w:w="15" w:type="dxa"/>
              <w:right w:w="15" w:type="dxa"/>
              <w:bottom w:w="0" w:type="dxa"/>
            </w:tcMar>
            <w:tcW w:w="656" w:type="dxa"/>
            <w:vAlign w:val="center"/>
            <w:textDirection w:val="lrTb"/>
            <w:noWrap w:val="false"/>
          </w:tcPr>
          <w:p>
            <w:pPr>
              <w:jc w:val="center"/>
              <w:keepLines w:val="0"/>
              <w:keepNext w:val="0"/>
              <w:pageBreakBefore w:val="0"/>
              <w:spacing w:line="280" w:lineRule="exact"/>
              <w:rPr>
                <w:rFonts w:ascii="宋体" w:hAnsi="宋体" w:cs="宋体"/>
                <w:color w:val="auto"/>
                <w:szCs w:val="21"/>
                <w:highlight w:val="none"/>
              </w:rPr>
            </w:pPr>
            <w:r>
              <w:rPr>
                <w:rFonts w:ascii="宋体" w:hAnsi="宋体" w:cs="宋体"/>
                <w:color w:val="auto"/>
                <w:szCs w:val="21"/>
                <w:highlight w:val="none"/>
              </w:rPr>
              <w:t xml:space="preserve">2</w:t>
            </w:r>
            <w:r/>
          </w:p>
        </w:tc>
        <w:tc>
          <w:tcPr>
            <w:tcMar>
              <w:left w:w="15" w:type="dxa"/>
              <w:top w:w="15" w:type="dxa"/>
              <w:right w:w="15" w:type="dxa"/>
              <w:bottom w:w="0" w:type="dxa"/>
            </w:tcMar>
            <w:tcW w:w="1180" w:type="dxa"/>
            <w:vAlign w:val="center"/>
            <w:textDirection w:val="lrTb"/>
            <w:noWrap w:val="false"/>
          </w:tcPr>
          <w:p>
            <w:pPr>
              <w:jc w:val="center"/>
              <w:keepLines w:val="0"/>
              <w:keepNext w:val="0"/>
              <w:pageBreakBefore w:val="0"/>
              <w:spacing w:line="280" w:lineRule="exact"/>
              <w:rPr>
                <w:rFonts w:ascii="宋体" w:hAnsi="宋体" w:cs="宋体"/>
                <w:color w:val="auto"/>
                <w:spacing w:val="-6"/>
                <w:szCs w:val="21"/>
                <w:highlight w:val="none"/>
              </w:rPr>
            </w:pPr>
            <w:r>
              <w:rPr>
                <w:rFonts w:hint="eastAsia" w:ascii="宋体" w:hAnsi="宋体" w:cs="宋体"/>
                <w:color w:val="auto"/>
                <w:spacing w:val="-6"/>
                <w:szCs w:val="21"/>
                <w:highlight w:val="none"/>
              </w:rPr>
              <w:t xml:space="preserve">类似业绩</w:t>
            </w:r>
            <w:r/>
          </w:p>
          <w:p>
            <w:pPr>
              <w:jc w:val="center"/>
              <w:keepLines w:val="0"/>
              <w:keepNext w:val="0"/>
              <w:pageBreakBefore w:val="0"/>
              <w:spacing w:line="280" w:lineRule="exact"/>
              <w:rPr>
                <w:rFonts w:ascii="宋体" w:hAnsi="宋体" w:cs="宋体"/>
                <w:color w:val="auto"/>
                <w:spacing w:val="-6"/>
                <w:szCs w:val="21"/>
                <w:highlight w:val="none"/>
              </w:rPr>
            </w:pPr>
            <w:r>
              <w:rPr>
                <w:rFonts w:hint="eastAsia" w:ascii="宋体" w:hAnsi="宋体" w:cs="宋体"/>
                <w:color w:val="auto"/>
                <w:spacing w:val="-6"/>
                <w:szCs w:val="21"/>
                <w:highlight w:val="none"/>
              </w:rPr>
              <w:t xml:space="preserve">（1</w:t>
            </w:r>
            <w:r>
              <w:rPr>
                <w:rFonts w:ascii="宋体" w:hAnsi="宋体" w:cs="宋体"/>
                <w:color w:val="auto"/>
                <w:spacing w:val="-6"/>
                <w:szCs w:val="21"/>
                <w:highlight w:val="none"/>
              </w:rPr>
              <w:t xml:space="preserve">2</w:t>
            </w:r>
            <w:r>
              <w:rPr>
                <w:rFonts w:hint="eastAsia" w:ascii="宋体" w:hAnsi="宋体" w:cs="宋体"/>
                <w:color w:val="auto"/>
                <w:spacing w:val="-6"/>
                <w:szCs w:val="21"/>
                <w:highlight w:val="none"/>
              </w:rPr>
              <w:t xml:space="preserve">分）</w:t>
            </w:r>
            <w:r/>
          </w:p>
        </w:tc>
        <w:tc>
          <w:tcPr>
            <w:tcMar>
              <w:left w:w="15" w:type="dxa"/>
              <w:top w:w="15" w:type="dxa"/>
              <w:right w:w="15" w:type="dxa"/>
              <w:bottom w:w="0" w:type="dxa"/>
            </w:tcMar>
            <w:tcW w:w="7988" w:type="dxa"/>
            <w:vAlign w:val="center"/>
            <w:textDirection w:val="lrTb"/>
            <w:noWrap w:val="false"/>
          </w:tcPr>
          <w:p>
            <w:pPr>
              <w:ind w:firstLine="420"/>
              <w:keepLines w:val="0"/>
              <w:keepNext w:val="0"/>
              <w:pageBreakBefore w:val="0"/>
              <w:spacing w:after="0" w:line="280" w:lineRule="exact"/>
              <w:tabs>
                <w:tab w:val="left" w:pos="2850" w:leader="none"/>
                <w:tab w:val="center" w:pos="4153" w:leader="none"/>
              </w:tabs>
              <w:rPr>
                <w:rFonts w:ascii="宋体" w:hAnsi="宋体"/>
                <w:bCs/>
                <w:color w:val="auto"/>
                <w:szCs w:val="21"/>
                <w:highlight w:val="none"/>
              </w:rPr>
            </w:pPr>
            <w:r>
              <w:rPr>
                <w:rFonts w:hint="eastAsia" w:ascii="宋体" w:hAnsi="宋体"/>
                <w:bCs/>
                <w:color w:val="auto"/>
                <w:szCs w:val="21"/>
                <w:highlight w:val="none"/>
              </w:rPr>
              <w:t xml:space="preserve">投标供应商自2023年1月1日以来（以合同签订时间为准）承担过绿雕设计、绿雕施工</w:t>
            </w: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绿雕</w:t>
            </w:r>
            <w:r>
              <w:rPr>
                <w:rFonts w:hint="eastAsia" w:ascii="宋体" w:hAnsi="宋体"/>
                <w:bCs/>
                <w:color w:val="auto"/>
                <w:szCs w:val="21"/>
                <w:highlight w:val="none"/>
              </w:rPr>
              <w:t xml:space="preserve">养护业绩的，每提供一个业绩得4分，本小项最高得12分。</w:t>
            </w:r>
            <w:r/>
          </w:p>
          <w:p>
            <w:pPr>
              <w:ind w:firstLine="422"/>
              <w:jc w:val="left"/>
              <w:keepLines w:val="0"/>
              <w:keepNext w:val="0"/>
              <w:pageBreakBefore w:val="0"/>
              <w:spacing w:after="0" w:line="280" w:lineRule="exact"/>
              <w:widowControl/>
              <w:rPr>
                <w:b/>
                <w:bCs/>
                <w:color w:val="auto"/>
                <w:highlight w:val="none"/>
              </w:rPr>
            </w:pPr>
            <w:r>
              <w:rPr>
                <w:rFonts w:hint="eastAsia"/>
                <w:b/>
                <w:bCs/>
                <w:color w:val="auto"/>
                <w:highlight w:val="none"/>
              </w:rPr>
              <w:t xml:space="preserve">投标响应文件中须同时提供：①合同；②中标（成交）通知书（不含直接委托）；</w:t>
            </w:r>
            <w:r>
              <w:rPr>
                <w:rFonts w:hint="eastAsia" w:ascii="宋体" w:hAnsi="宋体"/>
                <w:b/>
                <w:bCs/>
                <w:color w:val="auto"/>
                <w:highlight w:val="none"/>
              </w:rPr>
              <w:t xml:space="preserve">③</w:t>
            </w:r>
            <w:r>
              <w:rPr>
                <w:rFonts w:hint="eastAsia"/>
                <w:b/>
                <w:bCs/>
                <w:color w:val="auto"/>
                <w:highlight w:val="none"/>
              </w:rPr>
              <w:t xml:space="preserve">该合同项下任一结算周期的发票及银行回款（单）凭证。</w:t>
            </w:r>
            <w:r/>
          </w:p>
          <w:p>
            <w:pPr>
              <w:ind w:firstLine="422"/>
              <w:jc w:val="left"/>
              <w:keepLines w:val="0"/>
              <w:keepNext w:val="0"/>
              <w:pageBreakBefore w:val="0"/>
              <w:spacing w:after="0" w:line="280" w:lineRule="exact"/>
              <w:widowControl/>
              <w:rPr>
                <w:b/>
                <w:bCs/>
                <w:color w:val="auto"/>
                <w:highlight w:val="none"/>
              </w:rPr>
            </w:pPr>
            <w:r>
              <w:rPr>
                <w:rFonts w:hint="eastAsia"/>
                <w:b/>
                <w:bCs/>
                <w:color w:val="auto"/>
                <w:highlight w:val="none"/>
              </w:rPr>
              <w:t xml:space="preserve">业绩合同必须能够体现签订时间、服务内容（若合同无法体现服务内容须提供相关证明材料）等，发票及银行回款（单）凭证必须清晰完整。</w:t>
            </w:r>
            <w:r>
              <w:rPr>
                <w:rFonts w:hint="eastAsia" w:ascii="宋体" w:cs="宋体"/>
                <w:b/>
                <w:bCs/>
                <w:color w:val="auto"/>
                <w:szCs w:val="21"/>
                <w:highlight w:val="none"/>
              </w:rPr>
              <w:t xml:space="preserve">同一项目按年度签订合同的，按1个项目计算。</w:t>
            </w:r>
            <w:r/>
          </w:p>
          <w:p>
            <w:pPr>
              <w:ind w:firstLine="422"/>
              <w:jc w:val="left"/>
              <w:keepLines w:val="0"/>
              <w:keepNext w:val="0"/>
              <w:pageBreakBefore w:val="0"/>
              <w:spacing w:after="0" w:line="280" w:lineRule="exact"/>
              <w:widowControl/>
              <w:rPr>
                <w:rFonts w:ascii="宋体" w:hAnsi="宋体"/>
                <w:color w:val="auto"/>
                <w:szCs w:val="21"/>
                <w:highlight w:val="none"/>
              </w:rPr>
            </w:pPr>
            <w:r>
              <w:rPr>
                <w:rFonts w:hint="eastAsia"/>
                <w:b/>
                <w:bCs/>
                <w:color w:val="auto"/>
                <w:highlight w:val="none"/>
              </w:rPr>
              <w:t xml:space="preserve">以上材料需提供原件扫描件并加盖公章，否则视为未提供。</w:t>
            </w:r>
            <w:r/>
          </w:p>
        </w:tc>
      </w:tr>
      <w:tr>
        <w:trPr>
          <w:jc w:val="center"/>
          <w:trHeight w:val="4101"/>
        </w:trPr>
        <w:tc>
          <w:tcPr>
            <w:tcMar>
              <w:left w:w="15" w:type="dxa"/>
              <w:top w:w="15" w:type="dxa"/>
              <w:right w:w="15" w:type="dxa"/>
              <w:bottom w:w="0" w:type="dxa"/>
            </w:tcMar>
            <w:tcW w:w="656" w:type="dxa"/>
            <w:vAlign w:val="center"/>
            <w:textDirection w:val="lrTb"/>
            <w:noWrap w:val="false"/>
          </w:tcPr>
          <w:p>
            <w:pPr>
              <w:jc w:val="center"/>
              <w:keepLines w:val="0"/>
              <w:keepNext w:val="0"/>
              <w:pageBreakBefore w:val="0"/>
              <w:spacing w:line="280" w:lineRule="exact"/>
              <w:rPr>
                <w:rFonts w:ascii="宋体" w:hAnsi="宋体" w:cs="宋体"/>
                <w:color w:val="auto"/>
                <w:szCs w:val="21"/>
                <w:highlight w:val="none"/>
              </w:rPr>
            </w:pPr>
            <w:r>
              <w:rPr>
                <w:rFonts w:ascii="宋体" w:hAnsi="宋体" w:cs="宋体"/>
                <w:color w:val="auto"/>
                <w:szCs w:val="21"/>
                <w:highlight w:val="none"/>
              </w:rPr>
              <w:t xml:space="preserve">3</w:t>
            </w:r>
            <w:r/>
          </w:p>
        </w:tc>
        <w:tc>
          <w:tcPr>
            <w:tcMar>
              <w:left w:w="15" w:type="dxa"/>
              <w:top w:w="15" w:type="dxa"/>
              <w:right w:w="15" w:type="dxa"/>
              <w:bottom w:w="0" w:type="dxa"/>
            </w:tcMar>
            <w:tcW w:w="1180" w:type="dxa"/>
            <w:vAlign w:val="center"/>
            <w:textDirection w:val="lrTb"/>
            <w:noWrap w:val="false"/>
          </w:tcPr>
          <w:p>
            <w:pPr>
              <w:jc w:val="center"/>
              <w:keepLines w:val="0"/>
              <w:keepNext w:val="0"/>
              <w:pageBreakBefore w:val="0"/>
              <w:spacing w:line="280" w:lineRule="exact"/>
              <w:rPr>
                <w:rFonts w:ascii="宋体" w:hAnsi="宋体" w:cs="宋体"/>
                <w:color w:val="auto"/>
                <w:szCs w:val="21"/>
                <w:highlight w:val="none"/>
              </w:rPr>
            </w:pPr>
            <w:r>
              <w:rPr>
                <w:rFonts w:hint="eastAsia" w:ascii="宋体" w:hAnsi="宋体" w:cs="宋体"/>
                <w:color w:val="auto"/>
                <w:szCs w:val="21"/>
                <w:highlight w:val="none"/>
              </w:rPr>
              <w:t xml:space="preserve">人员配置</w:t>
            </w:r>
            <w:r/>
          </w:p>
          <w:p>
            <w:pPr>
              <w:jc w:val="center"/>
              <w:keepLines w:val="0"/>
              <w:keepNext w:val="0"/>
              <w:pageBreakBefore w:val="0"/>
              <w:spacing w:line="28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7</w:t>
            </w:r>
            <w:r>
              <w:rPr>
                <w:rFonts w:hint="eastAsia" w:ascii="宋体" w:hAnsi="宋体" w:cs="宋体"/>
                <w:color w:val="auto"/>
                <w:szCs w:val="21"/>
                <w:highlight w:val="none"/>
              </w:rPr>
              <w:t xml:space="preserve">分）</w:t>
            </w:r>
            <w:r/>
          </w:p>
        </w:tc>
        <w:tc>
          <w:tcPr>
            <w:tcMar>
              <w:left w:w="15" w:type="dxa"/>
              <w:top w:w="15" w:type="dxa"/>
              <w:right w:w="15" w:type="dxa"/>
              <w:bottom w:w="0" w:type="dxa"/>
            </w:tcMar>
            <w:tcW w:w="7988" w:type="dxa"/>
            <w:vAlign w:val="center"/>
            <w:textDirection w:val="lrTb"/>
            <w:noWrap w:val="false"/>
          </w:tcPr>
          <w:p>
            <w:pPr>
              <w:ind w:firstLine="420"/>
              <w:keepLines w:val="0"/>
              <w:keepNext w:val="0"/>
              <w:pageBreakBefore w:val="0"/>
              <w:spacing w:after="0" w:line="280" w:lineRule="exact"/>
              <w:tabs>
                <w:tab w:val="left" w:pos="2850" w:leader="none"/>
                <w:tab w:val="center" w:pos="4153" w:leader="none"/>
              </w:tabs>
              <w:rPr>
                <w:rFonts w:ascii="宋体" w:hAnsi="宋体"/>
                <w:bCs/>
                <w:color w:val="auto"/>
                <w:szCs w:val="21"/>
                <w:highlight w:val="none"/>
              </w:rPr>
            </w:pPr>
            <w:r>
              <w:rPr>
                <w:rFonts w:hint="eastAsia" w:ascii="宋体" w:hAnsi="宋体"/>
                <w:bCs/>
                <w:color w:val="auto"/>
                <w:szCs w:val="21"/>
                <w:highlight w:val="none"/>
              </w:rPr>
              <w:t xml:space="preserve">1.项目负责人（2分）</w:t>
            </w:r>
            <w:r/>
          </w:p>
          <w:p>
            <w:pPr>
              <w:ind w:firstLine="420"/>
              <w:keepLines w:val="0"/>
              <w:keepNext w:val="0"/>
              <w:pageBreakBefore w:val="0"/>
              <w:spacing w:after="0" w:line="280" w:lineRule="exact"/>
              <w:tabs>
                <w:tab w:val="left" w:pos="2850" w:leader="none"/>
                <w:tab w:val="center" w:pos="4153" w:leader="none"/>
              </w:tabs>
              <w:rPr>
                <w:rFonts w:ascii="宋体" w:hAnsi="宋体"/>
                <w:bCs/>
                <w:color w:val="auto"/>
                <w:szCs w:val="21"/>
                <w:highlight w:val="none"/>
              </w:rPr>
            </w:pPr>
            <w:r/>
            <w:bookmarkStart w:id="131" w:name="OLE_LINK11"/>
            <w:r>
              <w:rPr>
                <w:rFonts w:hint="eastAsia" w:ascii="宋体" w:hAnsi="宋体"/>
                <w:bCs/>
                <w:color w:val="auto"/>
                <w:szCs w:val="21"/>
                <w:highlight w:val="none"/>
              </w:rPr>
              <w:t xml:space="preserve">项目负责人（1人）：具有园林绿化相关专业高级职称的得2分，具有园林绿化相关专业中级职称的得1分；其他不得分，本小项最高得2分。</w:t>
            </w:r>
            <w:bookmarkStart w:id="132" w:name="OLE_LINK28"/>
            <w:r/>
            <w:r/>
          </w:p>
          <w:p>
            <w:pPr>
              <w:ind w:firstLine="422"/>
              <w:keepLines w:val="0"/>
              <w:keepNext w:val="0"/>
              <w:pageBreakBefore w:val="0"/>
              <w:spacing w:after="0" w:line="280" w:lineRule="exact"/>
              <w:tabs>
                <w:tab w:val="left" w:pos="2850" w:leader="none"/>
                <w:tab w:val="center" w:pos="4153" w:leader="none"/>
              </w:tabs>
              <w:rPr>
                <w:rFonts w:ascii="宋体" w:hAnsi="宋体" w:cs="宋体"/>
                <w:b/>
                <w:color w:val="auto"/>
                <w:szCs w:val="21"/>
                <w:highlight w:val="none"/>
              </w:rPr>
            </w:pPr>
            <w:r>
              <w:rPr>
                <w:rFonts w:hint="eastAsia" w:ascii="宋体" w:hAnsi="宋体"/>
                <w:b/>
                <w:color w:val="auto"/>
                <w:szCs w:val="21"/>
                <w:highlight w:val="none"/>
              </w:rPr>
              <w:t xml:space="preserve">投标响应文件中须同时提供：①职称证书扫描件，如职称证书不能体现专业的，须提供职称评审表；②投标供应商为其缴纳的近六个月中任意一个月（不含磋商当月）的社保证明材料；③</w:t>
            </w:r>
            <w:r>
              <w:rPr>
                <w:rFonts w:hint="eastAsia" w:ascii="宋体" w:hAnsi="宋体" w:cs="宋体"/>
                <w:b/>
                <w:color w:val="auto"/>
                <w:szCs w:val="21"/>
                <w:highlight w:val="none"/>
              </w:rPr>
              <w:t xml:space="preserve">园林绿化相关专业指园林规划设计、园林植物、风景园林、园林绿化、园艺、城市规划、景观、植物（含植保、森保）、风景旅游、环境艺术等。</w:t>
            </w:r>
            <w:r/>
          </w:p>
          <w:p>
            <w:pPr>
              <w:ind w:firstLine="422"/>
              <w:keepLines w:val="0"/>
              <w:keepNext w:val="0"/>
              <w:pageBreakBefore w:val="0"/>
              <w:spacing w:after="0" w:line="280" w:lineRule="exact"/>
              <w:tabs>
                <w:tab w:val="left" w:pos="2850" w:leader="none"/>
                <w:tab w:val="center" w:pos="4153" w:leader="none"/>
              </w:tabs>
              <w:rPr>
                <w:rFonts w:ascii="宋体" w:hAnsi="宋体"/>
                <w:b/>
                <w:color w:val="auto"/>
                <w:szCs w:val="21"/>
                <w:highlight w:val="none"/>
              </w:rPr>
            </w:pPr>
            <w:r>
              <w:rPr>
                <w:rFonts w:hint="eastAsia" w:ascii="宋体" w:hAnsi="宋体"/>
                <w:b/>
                <w:color w:val="auto"/>
                <w:szCs w:val="21"/>
                <w:highlight w:val="none"/>
              </w:rPr>
              <w:t xml:space="preserve">以原件扫描件并加盖公章作为得分依据，否则此项不得分。</w:t>
            </w:r>
            <w:bookmarkEnd w:id="131"/>
            <w:r/>
            <w:bookmarkEnd w:id="132"/>
            <w:r/>
            <w:r/>
          </w:p>
          <w:p>
            <w:pPr>
              <w:ind w:firstLine="420"/>
              <w:keepLines w:val="0"/>
              <w:keepNext w:val="0"/>
              <w:pageBreakBefore w:val="0"/>
              <w:spacing w:after="0" w:line="280" w:lineRule="exact"/>
              <w:tabs>
                <w:tab w:val="left" w:pos="2850" w:leader="none"/>
                <w:tab w:val="center" w:pos="4153" w:leader="none"/>
              </w:tabs>
              <w:rPr>
                <w:rFonts w:ascii="宋体" w:hAnsi="宋体"/>
                <w:bCs/>
                <w:color w:val="auto"/>
                <w:szCs w:val="21"/>
                <w:highlight w:val="none"/>
              </w:rPr>
            </w:pPr>
            <w:r>
              <w:rPr>
                <w:rFonts w:hint="eastAsia" w:ascii="宋体" w:hAnsi="宋体"/>
                <w:bCs/>
                <w:color w:val="auto"/>
                <w:szCs w:val="21"/>
                <w:highlight w:val="none"/>
              </w:rPr>
              <w:t xml:space="preserve">2.项目组其他人员（5分）</w:t>
            </w:r>
            <w:r/>
          </w:p>
          <w:p>
            <w:pPr>
              <w:ind w:firstLine="420"/>
              <w:keepLines w:val="0"/>
              <w:keepNext w:val="0"/>
              <w:pageBreakBefore w:val="0"/>
              <w:spacing w:after="0" w:line="280" w:lineRule="exact"/>
              <w:tabs>
                <w:tab w:val="left" w:pos="2850" w:leader="none"/>
                <w:tab w:val="center" w:pos="4153" w:leader="none"/>
              </w:tabs>
              <w:rPr>
                <w:rFonts w:ascii="宋体" w:hAnsi="宋体"/>
                <w:bCs/>
                <w:color w:val="auto"/>
                <w:szCs w:val="21"/>
                <w:highlight w:val="none"/>
              </w:rPr>
            </w:pPr>
            <w:r>
              <w:rPr>
                <w:rFonts w:hint="eastAsia" w:ascii="宋体" w:hAnsi="宋体"/>
                <w:bCs/>
                <w:color w:val="auto"/>
                <w:szCs w:val="21"/>
                <w:highlight w:val="none"/>
              </w:rPr>
              <w:t xml:space="preserve">（1）绿化技能工。</w:t>
            </w:r>
            <w:r>
              <w:rPr>
                <w:rFonts w:hint="eastAsia" w:ascii="宋体" w:cs="宋体"/>
                <w:color w:val="auto"/>
                <w:szCs w:val="21"/>
                <w:highlight w:val="none"/>
              </w:rPr>
              <w:t xml:space="preserve">拟配备中级及以上花卉工（或花卉园艺师）、中级及以上绿化工的，每有一人得1分，本小项最高得</w:t>
            </w:r>
            <w:r>
              <w:rPr>
                <w:rFonts w:ascii="宋体" w:cs="宋体"/>
                <w:color w:val="auto"/>
                <w:szCs w:val="21"/>
                <w:highlight w:val="none"/>
              </w:rPr>
              <w:t xml:space="preserve">4</w:t>
            </w:r>
            <w:r>
              <w:rPr>
                <w:rFonts w:hint="eastAsia" w:ascii="宋体" w:cs="宋体"/>
                <w:color w:val="auto"/>
                <w:szCs w:val="21"/>
                <w:highlight w:val="none"/>
              </w:rPr>
              <w:t xml:space="preserve">分。</w:t>
            </w:r>
            <w:r/>
          </w:p>
          <w:p>
            <w:pPr>
              <w:ind w:firstLine="420"/>
              <w:keepLines w:val="0"/>
              <w:keepNext w:val="0"/>
              <w:pageBreakBefore w:val="0"/>
              <w:spacing w:after="0" w:line="280" w:lineRule="exact"/>
              <w:tabs>
                <w:tab w:val="left" w:pos="2850" w:leader="none"/>
                <w:tab w:val="center" w:pos="4153" w:leader="none"/>
              </w:tabs>
              <w:rPr>
                <w:rFonts w:ascii="宋体" w:hAnsi="宋体"/>
                <w:bCs/>
                <w:color w:val="auto"/>
                <w:szCs w:val="21"/>
                <w:highlight w:val="none"/>
              </w:rPr>
            </w:pPr>
            <w:r>
              <w:rPr>
                <w:rFonts w:hint="eastAsia" w:ascii="宋体" w:hAnsi="宋体"/>
                <w:bCs/>
                <w:color w:val="auto"/>
                <w:szCs w:val="21"/>
                <w:highlight w:val="none"/>
              </w:rPr>
              <w:t xml:space="preserve">（2）电工：持有应急管理部门（原安全生产监督管理部门）核发的《特种作业操作证》高压或低压电工作业证的，每有一人得1分，本小项最高得1分。</w:t>
            </w:r>
            <w:r/>
          </w:p>
          <w:p>
            <w:pPr>
              <w:ind w:firstLine="422"/>
              <w:keepLines w:val="0"/>
              <w:keepNext w:val="0"/>
              <w:pageBreakBefore w:val="0"/>
              <w:spacing w:after="0" w:line="280" w:lineRule="exact"/>
              <w:tabs>
                <w:tab w:val="left" w:pos="2850" w:leader="none"/>
                <w:tab w:val="center" w:pos="4153" w:leader="none"/>
              </w:tabs>
              <w:rPr>
                <w:rFonts w:ascii="宋体" w:hAnsi="宋体"/>
                <w:b/>
                <w:color w:val="auto"/>
                <w:szCs w:val="21"/>
                <w:highlight w:val="none"/>
              </w:rPr>
            </w:pPr>
            <w:r>
              <w:rPr>
                <w:rFonts w:hint="eastAsia" w:ascii="宋体" w:hAnsi="宋体"/>
                <w:b/>
                <w:color w:val="auto"/>
                <w:szCs w:val="21"/>
                <w:highlight w:val="none"/>
              </w:rPr>
              <w:t xml:space="preserve">投标响应文件中须同时提供：①有效期内的相关证书；②投标供应商为其缴纳的近六个月中任意一个月（不含磋商当月）的社保证明材料。同一人员只计一次，不得重复计分，资料不全的不得分。</w:t>
            </w:r>
            <w:r>
              <w:rPr>
                <w:rFonts w:ascii="宋体" w:hAnsi="宋体"/>
                <w:b/>
                <w:color w:val="auto"/>
                <w:szCs w:val="21"/>
                <w:highlight w:val="none"/>
              </w:rPr>
              <w:t xml:space="preserve"> </w:t>
            </w:r>
            <w:r>
              <w:rPr>
                <w:rFonts w:hint="eastAsia" w:ascii="宋体" w:hAnsi="宋体"/>
                <w:b/>
                <w:color w:val="auto"/>
                <w:szCs w:val="21"/>
                <w:highlight w:val="none"/>
              </w:rPr>
              <w:t xml:space="preserve">以原件扫描件并加盖公章作为得分依据，否则此项不得分。</w:t>
            </w:r>
            <w:r/>
          </w:p>
        </w:tc>
      </w:tr>
      <w:tr>
        <w:trPr>
          <w:jc w:val="center"/>
          <w:trHeight w:val="5512"/>
        </w:trPr>
        <w:tc>
          <w:tcPr>
            <w:tcMar>
              <w:left w:w="15" w:type="dxa"/>
              <w:top w:w="15" w:type="dxa"/>
              <w:right w:w="15" w:type="dxa"/>
              <w:bottom w:w="0" w:type="dxa"/>
            </w:tcMar>
            <w:tcW w:w="656" w:type="dxa"/>
            <w:vAlign w:val="center"/>
            <w:textDirection w:val="lrTb"/>
            <w:noWrap w:val="false"/>
          </w:tcPr>
          <w:p>
            <w:pPr>
              <w:jc w:val="center"/>
              <w:keepLines w:val="0"/>
              <w:keepNext w:val="0"/>
              <w:pageBreakBefore w:val="0"/>
              <w:spacing w:line="300" w:lineRule="exact"/>
              <w:rPr>
                <w:rFonts w:ascii="宋体" w:hAnsi="宋体" w:cs="宋体"/>
                <w:color w:val="auto"/>
                <w:szCs w:val="21"/>
                <w:highlight w:val="none"/>
              </w:rPr>
            </w:pPr>
            <w:r>
              <w:rPr>
                <w:rFonts w:ascii="宋体" w:hAnsi="宋体" w:cs="宋体"/>
                <w:color w:val="auto"/>
                <w:szCs w:val="21"/>
                <w:highlight w:val="none"/>
              </w:rPr>
              <w:t xml:space="preserve">4</w:t>
            </w:r>
            <w:r/>
          </w:p>
        </w:tc>
        <w:tc>
          <w:tcPr>
            <w:tcMar>
              <w:left w:w="15" w:type="dxa"/>
              <w:top w:w="15" w:type="dxa"/>
              <w:right w:w="15" w:type="dxa"/>
              <w:bottom w:w="0" w:type="dxa"/>
            </w:tcMar>
            <w:tcW w:w="1180" w:type="dxa"/>
            <w:vAlign w:val="center"/>
            <w:textDirection w:val="lrTb"/>
            <w:noWrap w:val="false"/>
          </w:tcPr>
          <w:p>
            <w:pPr>
              <w:jc w:val="center"/>
              <w:keepLines w:val="0"/>
              <w:keepNext w:val="0"/>
              <w:pageBreakBefore w:val="0"/>
              <w:spacing w:line="300" w:lineRule="exact"/>
              <w:rPr>
                <w:rFonts w:ascii="宋体" w:hAnsi="宋体" w:cs="宋体"/>
                <w:color w:val="auto"/>
                <w:spacing w:val="-6"/>
                <w:szCs w:val="21"/>
                <w:highlight w:val="none"/>
              </w:rPr>
            </w:pPr>
            <w:r>
              <w:rPr>
                <w:rFonts w:hint="eastAsia" w:ascii="宋体" w:hAnsi="宋体" w:cs="宋体"/>
                <w:color w:val="auto"/>
                <w:spacing w:val="-6"/>
                <w:szCs w:val="21"/>
                <w:highlight w:val="none"/>
              </w:rPr>
              <w:t xml:space="preserve">车辆及机械设备</w:t>
            </w:r>
            <w:r/>
          </w:p>
          <w:p>
            <w:pPr>
              <w:jc w:val="center"/>
              <w:keepLines w:val="0"/>
              <w:keepNext w:val="0"/>
              <w:pageBreakBefore w:val="0"/>
              <w:spacing w:line="300" w:lineRule="exact"/>
              <w:rPr>
                <w:rFonts w:ascii="宋体" w:hAnsi="宋体" w:cs="宋体"/>
                <w:color w:val="auto"/>
                <w:spacing w:val="-6"/>
                <w:szCs w:val="21"/>
                <w:highlight w:val="none"/>
              </w:rPr>
            </w:pPr>
            <w:r>
              <w:rPr>
                <w:rFonts w:hint="eastAsia" w:ascii="宋体" w:hAnsi="宋体" w:cs="宋体"/>
                <w:color w:val="auto"/>
                <w:spacing w:val="-6"/>
                <w:szCs w:val="21"/>
                <w:highlight w:val="none"/>
              </w:rPr>
              <w:t xml:space="preserve">（</w:t>
            </w:r>
            <w:r>
              <w:rPr>
                <w:rFonts w:ascii="宋体" w:hAnsi="宋体" w:cs="宋体"/>
                <w:color w:val="auto"/>
                <w:spacing w:val="-6"/>
                <w:szCs w:val="21"/>
                <w:highlight w:val="none"/>
              </w:rPr>
              <w:t xml:space="preserve">8</w:t>
            </w:r>
            <w:r>
              <w:rPr>
                <w:rFonts w:hint="eastAsia" w:ascii="宋体" w:hAnsi="宋体" w:cs="宋体"/>
                <w:color w:val="auto"/>
                <w:spacing w:val="-6"/>
                <w:szCs w:val="21"/>
                <w:highlight w:val="none"/>
              </w:rPr>
              <w:t xml:space="preserve">分）</w:t>
            </w:r>
            <w:r/>
          </w:p>
        </w:tc>
        <w:tc>
          <w:tcPr>
            <w:tcMar>
              <w:left w:w="15" w:type="dxa"/>
              <w:top w:w="15" w:type="dxa"/>
              <w:right w:w="15" w:type="dxa"/>
              <w:bottom w:w="0" w:type="dxa"/>
            </w:tcMar>
            <w:tcW w:w="7988" w:type="dxa"/>
            <w:vAlign w:val="center"/>
            <w:textDirection w:val="lrTb"/>
            <w:noWrap w:val="false"/>
          </w:tcPr>
          <w:p>
            <w:pPr>
              <w:ind w:firstLine="420"/>
              <w:keepLines w:val="0"/>
              <w:keepNext w:val="0"/>
              <w:pageBreakBefore w:val="0"/>
              <w:spacing w:after="0" w:line="300" w:lineRule="exact"/>
              <w:rPr>
                <w:rFonts w:ascii="宋体" w:hAnsi="宋体" w:cs="宋体"/>
                <w:color w:val="auto"/>
                <w:szCs w:val="21"/>
                <w:highlight w:val="none"/>
              </w:rPr>
            </w:pPr>
            <w:r>
              <w:rPr>
                <w:rFonts w:hint="eastAsia" w:ascii="宋体" w:hAnsi="宋体" w:cs="宋体"/>
                <w:color w:val="auto"/>
                <w:szCs w:val="21"/>
                <w:highlight w:val="none"/>
              </w:rPr>
              <w:t xml:space="preserve">根据供应商提供的投入本项目的车辆及主要设备数量、规模、型号种类及车辆设备的所有权等进行综合评分，本项满分</w:t>
            </w:r>
            <w:r>
              <w:rPr>
                <w:rFonts w:ascii="宋体" w:hAnsi="宋体" w:cs="宋体"/>
                <w:color w:val="auto"/>
                <w:szCs w:val="21"/>
                <w:highlight w:val="none"/>
              </w:rPr>
              <w:t xml:space="preserve">8</w:t>
            </w:r>
            <w:r>
              <w:rPr>
                <w:rFonts w:hint="eastAsia" w:ascii="宋体" w:hAnsi="宋体" w:cs="宋体"/>
                <w:color w:val="auto"/>
                <w:szCs w:val="21"/>
                <w:highlight w:val="none"/>
              </w:rPr>
              <w:t xml:space="preserve">分。</w:t>
            </w:r>
            <w:r/>
          </w:p>
          <w:p>
            <w:pPr>
              <w:ind w:firstLine="420"/>
              <w:keepLines w:val="0"/>
              <w:keepNext w:val="0"/>
              <w:pageBreakBefore w:val="0"/>
              <w:spacing w:after="0" w:line="3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（1）专业洒水车1辆(含)以上的得1分，其他情况不得分；</w:t>
            </w:r>
            <w:r/>
          </w:p>
          <w:p>
            <w:pPr>
              <w:ind w:firstLine="420"/>
              <w:keepLines w:val="0"/>
              <w:keepNext w:val="0"/>
              <w:pageBreakBefore w:val="0"/>
              <w:spacing w:after="0" w:line="3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（2）专业登高作业车1辆（含）以上的得1分，其他情况不得分；</w:t>
            </w:r>
            <w:r/>
          </w:p>
          <w:p>
            <w:pPr>
              <w:ind w:firstLine="420"/>
              <w:keepLines w:val="0"/>
              <w:keepNext w:val="0"/>
              <w:pageBreakBefore w:val="0"/>
              <w:spacing w:after="0" w:line="3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（3）应急保障车（皮卡、运输货车）1辆(含)以上，得1分，其他情况不得分；</w:t>
            </w:r>
            <w:r/>
          </w:p>
          <w:p>
            <w:pPr>
              <w:ind w:firstLine="420"/>
              <w:keepLines w:val="0"/>
              <w:keepNext w:val="0"/>
              <w:pageBreakBefore w:val="0"/>
              <w:spacing w:after="0" w:line="3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（4）巡查</w:t>
            </w:r>
            <w:r>
              <w:rPr>
                <w:rFonts w:hint="eastAsia" w:ascii="宋体" w:hAnsi="宋体" w:cs="宋体"/>
                <w:color w:val="auto"/>
                <w:szCs w:val="21"/>
                <w:highlight w:val="none"/>
                <w:lang w:val="en-US" w:eastAsia="zh-CN"/>
              </w:rPr>
              <w:t xml:space="preserve">汽车1</w:t>
            </w:r>
            <w:r>
              <w:rPr>
                <w:rFonts w:hint="eastAsia" w:ascii="宋体" w:hAnsi="宋体" w:cs="宋体"/>
                <w:color w:val="auto"/>
                <w:szCs w:val="21"/>
                <w:highlight w:val="none"/>
              </w:rPr>
              <w:t xml:space="preserve">辆(含)以上，得1分，其他情况不得分；</w:t>
            </w:r>
            <w:r/>
          </w:p>
          <w:p>
            <w:pPr>
              <w:ind w:firstLine="420"/>
              <w:keepLines w:val="0"/>
              <w:keepNext w:val="0"/>
              <w:pageBreakBefore w:val="0"/>
              <w:spacing w:after="0" w:line="300" w:lineRule="exact"/>
              <w:rPr>
                <w:rFonts w:ascii="宋体" w:hAnsi="宋体" w:cs="宋体"/>
                <w:color w:val="auto"/>
                <w:szCs w:val="21"/>
                <w:highlight w:val="none"/>
              </w:rPr>
            </w:pPr>
            <w:r>
              <w:rPr>
                <w:rFonts w:hint="eastAsia" w:ascii="宋体" w:hAnsi="宋体" w:cs="宋体"/>
                <w:color w:val="auto"/>
                <w:szCs w:val="21"/>
                <w:highlight w:val="none"/>
              </w:rPr>
              <w:t xml:space="preserve">（5）机械设备：打药机3台(含)以上，得1分，其他情况不得分；</w:t>
            </w:r>
            <w:r/>
          </w:p>
          <w:p>
            <w:pPr>
              <w:ind w:firstLine="420"/>
              <w:keepLines w:val="0"/>
              <w:keepNext w:val="0"/>
              <w:pageBreakBefore w:val="0"/>
              <w:spacing w:after="0" w:line="300" w:lineRule="exact"/>
              <w:rPr>
                <w:rFonts w:ascii="宋体" w:hAnsi="宋体" w:cs="宋体"/>
                <w:color w:val="auto"/>
                <w:szCs w:val="21"/>
                <w:highlight w:val="none"/>
              </w:rPr>
            </w:pPr>
            <w:r>
              <w:rPr>
                <w:rFonts w:hint="eastAsia" w:ascii="宋体" w:hAnsi="宋体" w:cs="宋体"/>
                <w:color w:val="auto"/>
                <w:szCs w:val="21"/>
                <w:highlight w:val="none"/>
              </w:rPr>
              <w:t xml:space="preserve">（6）草坪修剪机（推草机）2台(含)以上，得1分，其他情况不得分；</w:t>
            </w:r>
            <w:r/>
          </w:p>
          <w:p>
            <w:pPr>
              <w:ind w:firstLine="420"/>
              <w:keepLines w:val="0"/>
              <w:keepNext w:val="0"/>
              <w:pageBreakBefore w:val="0"/>
              <w:spacing w:after="0" w:line="300" w:lineRule="exact"/>
              <w:rPr>
                <w:rFonts w:ascii="宋体" w:hAnsi="宋体" w:cs="宋体"/>
                <w:color w:val="auto"/>
                <w:szCs w:val="21"/>
                <w:highlight w:val="none"/>
              </w:rPr>
            </w:pPr>
            <w:r>
              <w:rPr>
                <w:rFonts w:hint="eastAsia" w:ascii="宋体" w:hAnsi="宋体" w:cs="宋体"/>
                <w:color w:val="auto"/>
                <w:szCs w:val="21"/>
                <w:highlight w:val="none"/>
              </w:rPr>
              <w:t xml:space="preserve">（7）风力灭火器3台(含)以上，得1分，其他情况不得分；</w:t>
            </w:r>
            <w:r/>
          </w:p>
          <w:p>
            <w:pPr>
              <w:ind w:firstLine="420"/>
              <w:keepLines w:val="0"/>
              <w:keepNext w:val="0"/>
              <w:pageBreakBefore w:val="0"/>
              <w:spacing w:after="0" w:line="300" w:lineRule="exact"/>
              <w:rPr>
                <w:rFonts w:ascii="宋体" w:hAnsi="宋体" w:cs="宋体"/>
                <w:color w:val="auto"/>
                <w:szCs w:val="21"/>
                <w:highlight w:val="none"/>
              </w:rPr>
            </w:pPr>
            <w:r>
              <w:rPr>
                <w:rFonts w:hint="eastAsia" w:ascii="宋体" w:hAnsi="宋体" w:cs="宋体"/>
                <w:color w:val="auto"/>
                <w:szCs w:val="21"/>
                <w:highlight w:val="none"/>
              </w:rPr>
              <w:t xml:space="preserve">（8）手剪10把(含)以上，得1分，其他情况不得分；</w:t>
            </w:r>
            <w:r/>
          </w:p>
          <w:p>
            <w:pPr>
              <w:ind w:firstLine="422"/>
              <w:keepLines w:val="0"/>
              <w:keepNext w:val="0"/>
              <w:pageBreakBefore w:val="0"/>
              <w:spacing w:after="0" w:line="300" w:lineRule="exact"/>
              <w:tabs>
                <w:tab w:val="left" w:pos="2850" w:leader="none"/>
                <w:tab w:val="center" w:pos="4153" w:leader="none"/>
              </w:tabs>
              <w:rPr>
                <w:rFonts w:ascii="宋体" w:hAnsi="宋体"/>
                <w:b/>
                <w:color w:val="auto"/>
                <w:szCs w:val="21"/>
                <w:highlight w:val="none"/>
              </w:rPr>
            </w:pPr>
            <w:r>
              <w:rPr>
                <w:rFonts w:hint="eastAsia" w:ascii="宋体" w:hAnsi="宋体"/>
                <w:b/>
                <w:color w:val="auto"/>
                <w:szCs w:val="21"/>
                <w:highlight w:val="none"/>
              </w:rPr>
              <w:t xml:space="preserve">以上车辆及机械设备可为投标供应商自有或租赁。</w:t>
            </w:r>
            <w:r/>
          </w:p>
          <w:p>
            <w:pPr>
              <w:ind w:firstLine="422"/>
              <w:keepLines w:val="0"/>
              <w:keepNext w:val="0"/>
              <w:pageBreakBefore w:val="0"/>
              <w:spacing w:after="0" w:line="300" w:lineRule="exact"/>
              <w:tabs>
                <w:tab w:val="left" w:pos="2850" w:leader="none"/>
                <w:tab w:val="center" w:pos="4153" w:leader="none"/>
              </w:tabs>
              <w:rPr>
                <w:rFonts w:ascii="宋体" w:hAnsi="宋体"/>
                <w:b/>
                <w:color w:val="auto"/>
                <w:szCs w:val="21"/>
                <w:highlight w:val="none"/>
              </w:rPr>
            </w:pPr>
            <w:r>
              <w:rPr>
                <w:rFonts w:hint="eastAsia" w:ascii="宋体" w:hAnsi="宋体"/>
                <w:b/>
                <w:color w:val="auto"/>
                <w:szCs w:val="21"/>
                <w:highlight w:val="none"/>
              </w:rPr>
              <w:t xml:space="preserve">自有车辆及机械设备</w:t>
            </w:r>
            <w:r>
              <w:rPr>
                <w:rFonts w:hint="eastAsia" w:ascii="宋体" w:hAnsi="宋体"/>
                <w:b/>
                <w:bCs/>
                <w:color w:val="auto"/>
                <w:highlight w:val="none"/>
              </w:rPr>
              <w:t xml:space="preserve">须</w:t>
            </w:r>
            <w:r>
              <w:rPr>
                <w:rFonts w:hint="eastAsia" w:ascii="宋体" w:hAnsi="宋体"/>
                <w:b/>
                <w:color w:val="auto"/>
                <w:szCs w:val="21"/>
                <w:highlight w:val="none"/>
              </w:rPr>
              <w:t xml:space="preserve">同时提供：①设备购置发票；②有效期内的车辆行驶证（仅车辆提供）；③设备实物照片（车辆照片须清晰显示车牌号）。</w:t>
            </w:r>
            <w:r/>
          </w:p>
          <w:p>
            <w:pPr>
              <w:ind w:firstLine="422"/>
              <w:keepLines w:val="0"/>
              <w:keepNext w:val="0"/>
              <w:pageBreakBefore w:val="0"/>
              <w:spacing w:after="0" w:line="300" w:lineRule="exact"/>
              <w:tabs>
                <w:tab w:val="left" w:pos="2850" w:leader="none"/>
                <w:tab w:val="center" w:pos="4153" w:leader="none"/>
              </w:tabs>
              <w:rPr>
                <w:rFonts w:ascii="宋体" w:hAnsi="宋体"/>
                <w:b/>
                <w:color w:val="auto"/>
                <w:szCs w:val="21"/>
                <w:highlight w:val="none"/>
              </w:rPr>
            </w:pPr>
            <w:r>
              <w:rPr>
                <w:rFonts w:hint="eastAsia" w:ascii="宋体" w:hAnsi="宋体"/>
                <w:b/>
                <w:color w:val="auto"/>
                <w:szCs w:val="21"/>
                <w:highlight w:val="none"/>
              </w:rPr>
              <w:t xml:space="preserve">租赁车辆及机械设备</w:t>
            </w:r>
            <w:r>
              <w:rPr>
                <w:rFonts w:hint="eastAsia" w:ascii="宋体" w:hAnsi="宋体"/>
                <w:b/>
                <w:bCs/>
                <w:color w:val="auto"/>
                <w:highlight w:val="none"/>
              </w:rPr>
              <w:t xml:space="preserve">须</w:t>
            </w:r>
            <w:r>
              <w:rPr>
                <w:rFonts w:hint="eastAsia" w:ascii="宋体" w:hAnsi="宋体"/>
                <w:b/>
                <w:color w:val="auto"/>
                <w:szCs w:val="21"/>
                <w:highlight w:val="none"/>
              </w:rPr>
              <w:t xml:space="preserve">同时提供：①设备的租赁合同（租赁期限应覆盖本项目服务期）；②租赁公司的设备购置发票；③有效期内的车辆行驶证（仅车辆提供）；④设备实物照片（车辆照片须清晰显示车牌号）。</w:t>
            </w:r>
            <w:r/>
          </w:p>
          <w:p>
            <w:pPr>
              <w:ind w:firstLine="422"/>
              <w:keepLines w:val="0"/>
              <w:keepNext w:val="0"/>
              <w:pageBreakBefore w:val="0"/>
              <w:spacing w:after="0" w:line="300" w:lineRule="exact"/>
              <w:tabs>
                <w:tab w:val="left" w:pos="2850" w:leader="none"/>
                <w:tab w:val="center" w:pos="4153" w:leader="none"/>
              </w:tabs>
              <w:rPr>
                <w:rFonts w:ascii="宋体" w:hAnsi="宋体"/>
                <w:b/>
                <w:color w:val="auto"/>
                <w:szCs w:val="21"/>
                <w:highlight w:val="none"/>
              </w:rPr>
            </w:pPr>
            <w:r>
              <w:rPr>
                <w:rFonts w:hint="eastAsia" w:ascii="宋体" w:hAnsi="宋体"/>
                <w:b/>
                <w:color w:val="auto"/>
                <w:szCs w:val="21"/>
                <w:highlight w:val="none"/>
              </w:rPr>
              <w:t xml:space="preserve">每一小项中的车辆及机械设备种类或数量（含发票购货数量与设备照片数量）不一致的不得分。以原件扫描件并加盖公章作为得分依据，否则此项不得分。</w:t>
            </w:r>
            <w:r/>
          </w:p>
        </w:tc>
      </w:tr>
      <w:tr>
        <w:trPr>
          <w:jc w:val="center"/>
          <w:trHeight w:val="412"/>
        </w:trPr>
        <w:tc>
          <w:tcPr>
            <w:tcMar>
              <w:left w:w="15" w:type="dxa"/>
              <w:top w:w="15" w:type="dxa"/>
              <w:right w:w="15" w:type="dxa"/>
              <w:bottom w:w="0" w:type="dxa"/>
            </w:tcMar>
            <w:tcW w:w="656" w:type="dxa"/>
            <w:vAlign w:val="center"/>
            <w:textDirection w:val="lrTb"/>
            <w:noWrap w:val="false"/>
          </w:tcPr>
          <w:p>
            <w:pPr>
              <w:jc w:val="center"/>
              <w:keepLines w:val="0"/>
              <w:keepNext w:val="0"/>
              <w:pageBreakBefore w:val="0"/>
              <w:spacing w:line="300" w:lineRule="exact"/>
              <w:rPr>
                <w:rFonts w:ascii="宋体" w:hAnsi="宋体" w:cs="宋体"/>
                <w:color w:val="auto"/>
                <w:szCs w:val="21"/>
                <w:highlight w:val="none"/>
              </w:rPr>
            </w:pPr>
            <w:r>
              <w:rPr>
                <w:rFonts w:ascii="宋体" w:hAnsi="宋体" w:cs="宋体"/>
                <w:color w:val="auto"/>
                <w:szCs w:val="21"/>
                <w:highlight w:val="none"/>
              </w:rPr>
              <w:t xml:space="preserve">5</w:t>
            </w:r>
            <w:r/>
          </w:p>
        </w:tc>
        <w:tc>
          <w:tcPr>
            <w:tcMar>
              <w:left w:w="15" w:type="dxa"/>
              <w:top w:w="15" w:type="dxa"/>
              <w:right w:w="15" w:type="dxa"/>
              <w:bottom w:w="0" w:type="dxa"/>
            </w:tcMar>
            <w:tcW w:w="1180" w:type="dxa"/>
            <w:vAlign w:val="center"/>
            <w:textDirection w:val="lrTb"/>
            <w:noWrap w:val="false"/>
          </w:tcPr>
          <w:p>
            <w:pPr>
              <w:jc w:val="center"/>
              <w:keepLines w:val="0"/>
              <w:keepNext w:val="0"/>
              <w:pageBreakBefore w:val="0"/>
              <w:spacing w:before="100" w:line="300" w:lineRule="exact"/>
              <w:rPr>
                <w:rFonts w:ascii="宋体" w:hAnsi="宋体"/>
                <w:color w:val="auto"/>
                <w:szCs w:val="21"/>
                <w:highlight w:val="none"/>
              </w:rPr>
            </w:pPr>
            <w:r>
              <w:rPr>
                <w:rFonts w:hint="eastAsia" w:ascii="宋体" w:hAnsi="宋体"/>
                <w:color w:val="auto"/>
                <w:szCs w:val="21"/>
                <w:highlight w:val="none"/>
              </w:rPr>
              <w:t xml:space="preserve">企业认证</w:t>
            </w:r>
            <w:r/>
          </w:p>
          <w:p>
            <w:pPr>
              <w:jc w:val="center"/>
              <w:keepLines w:val="0"/>
              <w:keepNext w:val="0"/>
              <w:pageBreakBefore w:val="0"/>
              <w:spacing w:before="100" w:line="300" w:lineRule="exact"/>
              <w:rPr>
                <w:rFonts w:ascii="宋体" w:hAnsi="宋体"/>
                <w:color w:val="auto"/>
                <w:szCs w:val="21"/>
                <w:highlight w:val="none"/>
              </w:rPr>
            </w:pPr>
            <w:r>
              <w:rPr>
                <w:rFonts w:hint="eastAsia" w:ascii="宋体" w:hAnsi="宋体"/>
                <w:color w:val="auto"/>
                <w:szCs w:val="21"/>
                <w:highlight w:val="none"/>
              </w:rPr>
              <w:t xml:space="preserve">（3分）</w:t>
            </w:r>
            <w:r/>
          </w:p>
        </w:tc>
        <w:tc>
          <w:tcPr>
            <w:tcMar>
              <w:left w:w="15" w:type="dxa"/>
              <w:top w:w="15" w:type="dxa"/>
              <w:right w:w="15" w:type="dxa"/>
              <w:bottom w:w="0" w:type="dxa"/>
            </w:tcMar>
            <w:tcW w:w="7988" w:type="dxa"/>
            <w:vAlign w:val="center"/>
            <w:textDirection w:val="lrTb"/>
            <w:noWrap w:val="false"/>
          </w:tcPr>
          <w:p>
            <w:pPr>
              <w:ind w:firstLine="420"/>
              <w:keepLines w:val="0"/>
              <w:keepNext w:val="0"/>
              <w:pageBreakBefore w:val="0"/>
              <w:spacing w:after="0" w:line="300" w:lineRule="exact"/>
              <w:rPr>
                <w:rFonts w:ascii="宋体" w:hAnsi="宋体" w:cs="宋体"/>
                <w:bCs/>
                <w:color w:val="auto"/>
                <w:szCs w:val="21"/>
                <w:highlight w:val="none"/>
              </w:rPr>
            </w:pPr>
            <w:r/>
            <w:bookmarkStart w:id="133" w:name="OLE_LINK20"/>
            <w:r>
              <w:rPr>
                <w:rFonts w:hint="eastAsia" w:ascii="宋体" w:hAnsi="宋体" w:cs="宋体"/>
                <w:bCs/>
                <w:color w:val="auto"/>
                <w:szCs w:val="21"/>
                <w:highlight w:val="none"/>
              </w:rPr>
              <w:t xml:space="preserve">投标供应商具有有效期内的质量管理体系认证证书的得1分；具有有效期内的环境管理体系认证证书的得1分；具有有效期内的职业健康安全管理体系认证证书的得1分；本小项最高3分。</w:t>
            </w:r>
            <w:r/>
          </w:p>
          <w:p>
            <w:pPr>
              <w:ind w:firstLine="422"/>
              <w:keepLines w:val="0"/>
              <w:keepNext w:val="0"/>
              <w:pageBreakBefore w:val="0"/>
              <w:spacing w:after="0" w:line="300" w:lineRule="exact"/>
              <w:tabs>
                <w:tab w:val="left" w:pos="2850" w:leader="none"/>
                <w:tab w:val="center" w:pos="4153" w:leader="none"/>
              </w:tabs>
              <w:rPr>
                <w:rFonts w:ascii="宋体" w:hAnsi="宋体"/>
                <w:b/>
                <w:color w:val="auto"/>
                <w:szCs w:val="21"/>
                <w:highlight w:val="none"/>
              </w:rPr>
            </w:pPr>
            <w:r>
              <w:rPr>
                <w:rFonts w:hint="eastAsia" w:ascii="宋体" w:hAnsi="宋体"/>
                <w:b/>
                <w:color w:val="auto"/>
                <w:szCs w:val="21"/>
                <w:highlight w:val="none"/>
              </w:rPr>
              <w:t xml:space="preserve">投标响应文件中</w:t>
            </w:r>
            <w:r>
              <w:rPr>
                <w:rFonts w:hint="eastAsia"/>
                <w:b/>
                <w:bCs/>
                <w:color w:val="auto"/>
                <w:highlight w:val="none"/>
              </w:rPr>
              <w:t xml:space="preserve">须</w:t>
            </w:r>
            <w:r>
              <w:rPr>
                <w:rFonts w:hint="eastAsia" w:ascii="宋体" w:hAnsi="宋体"/>
                <w:b/>
                <w:color w:val="auto"/>
                <w:szCs w:val="21"/>
                <w:highlight w:val="none"/>
              </w:rPr>
              <w:t xml:space="preserve">同时提供：①相应证书；②国家认证认可监督管理委员会官方网站（网址http://www.cnca.gov.cn/）查询的网页截图。</w:t>
            </w:r>
            <w:r/>
          </w:p>
          <w:p>
            <w:pPr>
              <w:ind w:firstLine="422"/>
              <w:keepLines w:val="0"/>
              <w:keepNext w:val="0"/>
              <w:pageBreakBefore w:val="0"/>
              <w:spacing w:after="0" w:line="300" w:lineRule="exact"/>
              <w:tabs>
                <w:tab w:val="left" w:pos="2850" w:leader="none"/>
                <w:tab w:val="center" w:pos="4153" w:leader="none"/>
              </w:tabs>
              <w:rPr>
                <w:color w:val="auto"/>
                <w:highlight w:val="none"/>
              </w:rPr>
            </w:pPr>
            <w:r>
              <w:rPr>
                <w:rFonts w:hint="eastAsia" w:ascii="宋体" w:hAnsi="宋体"/>
                <w:b/>
                <w:color w:val="auto"/>
                <w:szCs w:val="21"/>
                <w:highlight w:val="none"/>
              </w:rPr>
              <w:t xml:space="preserve">以上材料需提供原件扫描件并加盖公章，否则此项不得分。</w:t>
            </w:r>
            <w:bookmarkEnd w:id="133"/>
            <w:r/>
            <w:r/>
          </w:p>
        </w:tc>
      </w:tr>
      <w:tr>
        <w:trPr>
          <w:jc w:val="center"/>
          <w:trHeight w:val="2446"/>
        </w:trPr>
        <w:tc>
          <w:tcPr>
            <w:tcMar>
              <w:left w:w="15" w:type="dxa"/>
              <w:top w:w="15" w:type="dxa"/>
              <w:right w:w="15" w:type="dxa"/>
              <w:bottom w:w="0" w:type="dxa"/>
            </w:tcMar>
            <w:tcW w:w="656" w:type="dxa"/>
            <w:vAlign w:val="center"/>
            <w:vMerge w:val="restart"/>
            <w:textDirection w:val="lrTb"/>
            <w:noWrap w:val="false"/>
          </w:tcPr>
          <w:p>
            <w:pPr>
              <w:jc w:val="center"/>
              <w:keepLines w:val="0"/>
              <w:keepNext w:val="0"/>
              <w:pageBreakBefore w:val="0"/>
              <w:spacing w:line="300" w:lineRule="exact"/>
              <w:rPr>
                <w:rFonts w:ascii="宋体" w:hAnsi="宋体" w:cs="宋体"/>
                <w:color w:val="auto"/>
                <w:szCs w:val="21"/>
                <w:highlight w:val="none"/>
              </w:rPr>
            </w:pPr>
            <w:r>
              <w:rPr>
                <w:rFonts w:ascii="宋体" w:hAnsi="宋体" w:cs="宋体"/>
                <w:color w:val="auto"/>
                <w:szCs w:val="21"/>
                <w:highlight w:val="none"/>
              </w:rPr>
              <w:t xml:space="preserve">6</w:t>
            </w:r>
            <w:r/>
          </w:p>
        </w:tc>
        <w:tc>
          <w:tcPr>
            <w:tcMar>
              <w:left w:w="15" w:type="dxa"/>
              <w:top w:w="15" w:type="dxa"/>
              <w:right w:w="15" w:type="dxa"/>
              <w:bottom w:w="0" w:type="dxa"/>
            </w:tcMar>
            <w:tcW w:w="1180" w:type="dxa"/>
            <w:vAlign w:val="center"/>
            <w:vMerge w:val="restart"/>
            <w:textDirection w:val="lrTb"/>
            <w:noWrap w:val="false"/>
          </w:tcPr>
          <w:p>
            <w:pPr>
              <w:jc w:val="center"/>
              <w:keepLines w:val="0"/>
              <w:keepNext w:val="0"/>
              <w:pageBreakBefore w:val="0"/>
              <w:spacing w:line="300" w:lineRule="exact"/>
              <w:rPr>
                <w:rFonts w:ascii="宋体" w:hAnsi="宋体" w:cs="宋体"/>
                <w:color w:val="auto"/>
                <w:spacing w:val="-6"/>
                <w:szCs w:val="21"/>
                <w:highlight w:val="none"/>
              </w:rPr>
            </w:pPr>
            <w:r>
              <w:rPr>
                <w:rFonts w:hint="eastAsia" w:ascii="宋体" w:hAnsi="宋体" w:cs="宋体"/>
                <w:color w:val="auto"/>
                <w:spacing w:val="-6"/>
                <w:szCs w:val="21"/>
                <w:highlight w:val="none"/>
              </w:rPr>
              <w:t xml:space="preserve">项目方案</w:t>
            </w:r>
            <w:r/>
          </w:p>
          <w:p>
            <w:pPr>
              <w:jc w:val="center"/>
              <w:keepLines w:val="0"/>
              <w:keepNext w:val="0"/>
              <w:pageBreakBefore w:val="0"/>
              <w:spacing w:line="300" w:lineRule="exact"/>
              <w:rPr>
                <w:rFonts w:ascii="宋体" w:hAnsi="宋体" w:cs="宋体"/>
                <w:color w:val="auto"/>
                <w:spacing w:val="-6"/>
                <w:szCs w:val="21"/>
                <w:highlight w:val="none"/>
              </w:rPr>
            </w:pPr>
            <w:r>
              <w:rPr>
                <w:rFonts w:hint="eastAsia" w:ascii="宋体" w:hAnsi="宋体" w:cs="宋体"/>
                <w:color w:val="auto"/>
                <w:spacing w:val="-6"/>
                <w:szCs w:val="21"/>
                <w:highlight w:val="none"/>
              </w:rPr>
              <w:t xml:space="preserve">（4</w:t>
            </w:r>
            <w:r>
              <w:rPr>
                <w:rFonts w:ascii="宋体" w:hAnsi="宋体" w:cs="宋体"/>
                <w:color w:val="auto"/>
                <w:spacing w:val="-6"/>
                <w:szCs w:val="21"/>
                <w:highlight w:val="none"/>
              </w:rPr>
              <w:t xml:space="preserve">5</w:t>
            </w:r>
            <w:r>
              <w:rPr>
                <w:rFonts w:hint="eastAsia" w:ascii="宋体" w:hAnsi="宋体" w:cs="宋体"/>
                <w:color w:val="auto"/>
                <w:spacing w:val="-6"/>
                <w:szCs w:val="21"/>
                <w:highlight w:val="none"/>
              </w:rPr>
              <w:t xml:space="preserve">分）</w:t>
            </w:r>
            <w:r/>
          </w:p>
        </w:tc>
        <w:tc>
          <w:tcPr>
            <w:tcMar>
              <w:left w:w="15" w:type="dxa"/>
              <w:top w:w="15" w:type="dxa"/>
              <w:right w:w="15" w:type="dxa"/>
              <w:bottom w:w="0" w:type="dxa"/>
            </w:tcMar>
            <w:tcW w:w="7988" w:type="dxa"/>
            <w:vAlign w:val="center"/>
            <w:textDirection w:val="lrTb"/>
            <w:noWrap w:val="false"/>
          </w:tcPr>
          <w:p>
            <w:pPr>
              <w:ind w:firstLine="422"/>
              <w:keepLines w:val="0"/>
              <w:keepNext w:val="0"/>
              <w:pageBreakBefore w:val="0"/>
              <w:spacing w:after="0" w:line="300" w:lineRule="exact"/>
              <w:rPr>
                <w:rFonts w:ascii="宋体" w:hAnsi="宋体"/>
                <w:b/>
                <w:bCs/>
                <w:color w:val="auto"/>
                <w:szCs w:val="21"/>
                <w:highlight w:val="none"/>
              </w:rPr>
            </w:pPr>
            <w:r>
              <w:rPr>
                <w:rFonts w:hint="eastAsia" w:ascii="宋体" w:hAnsi="宋体"/>
                <w:b/>
                <w:bCs/>
                <w:color w:val="auto"/>
                <w:szCs w:val="21"/>
                <w:highlight w:val="none"/>
              </w:rPr>
              <w:t xml:space="preserve">1.总体技术方案（9分）</w:t>
            </w:r>
            <w:r/>
          </w:p>
          <w:p>
            <w:pPr>
              <w:ind w:firstLine="420"/>
              <w:keepLines w:val="0"/>
              <w:keepNext w:val="0"/>
              <w:pageBreakBefore w:val="0"/>
              <w:spacing w:after="0" w:line="300" w:lineRule="exact"/>
              <w:rPr>
                <w:rFonts w:ascii="宋体" w:hAnsi="宋体" w:cstheme="minorBidi"/>
                <w:color w:val="auto"/>
                <w:szCs w:val="21"/>
                <w:highlight w:val="none"/>
              </w:rPr>
            </w:pPr>
            <w:r>
              <w:rPr>
                <w:rFonts w:hint="eastAsia" w:ascii="宋体" w:hAnsi="宋体" w:cstheme="minorBidi"/>
                <w:color w:val="auto"/>
                <w:szCs w:val="21"/>
                <w:highlight w:val="none"/>
              </w:rPr>
              <w:t xml:space="preserve">根据响应文件提供的总体养护技术方案（包括但不限于：季节变化、本项目特定环境）进行综合评分：</w:t>
            </w:r>
            <w:r/>
          </w:p>
          <w:p>
            <w:pPr>
              <w:ind w:firstLine="210"/>
              <w:keepLines w:val="0"/>
              <w:keepNext w:val="0"/>
              <w:pageBreakBefore w:val="0"/>
              <w:spacing w:after="0" w:line="300" w:lineRule="exact"/>
              <w:rPr>
                <w:rFonts w:ascii="宋体" w:hAnsi="宋体" w:cstheme="minorBidi"/>
                <w:color w:val="auto"/>
                <w:szCs w:val="21"/>
                <w:highlight w:val="none"/>
              </w:rPr>
            </w:pPr>
            <w:r>
              <w:rPr>
                <w:rFonts w:hint="eastAsia" w:ascii="宋体" w:hAnsi="宋体" w:cstheme="minorBidi"/>
                <w:color w:val="auto"/>
                <w:szCs w:val="21"/>
                <w:highlight w:val="none"/>
              </w:rPr>
              <w:t xml:space="preserve">（1）方案描述清晰，内容全面具体，方案措施满足采购需求，实际可行的，得9分； </w:t>
            </w:r>
            <w:r/>
          </w:p>
          <w:p>
            <w:pPr>
              <w:ind w:firstLine="210"/>
              <w:keepLines w:val="0"/>
              <w:keepNext w:val="0"/>
              <w:pageBreakBefore w:val="0"/>
              <w:spacing w:after="0" w:line="300" w:lineRule="exact"/>
              <w:rPr>
                <w:rFonts w:ascii="宋体" w:hAnsi="宋体" w:cstheme="minorBidi"/>
                <w:color w:val="auto"/>
                <w:szCs w:val="21"/>
                <w:highlight w:val="none"/>
              </w:rPr>
            </w:pPr>
            <w:r>
              <w:rPr>
                <w:rFonts w:hint="eastAsia" w:ascii="宋体" w:hAnsi="宋体" w:cstheme="minorBidi"/>
                <w:color w:val="auto"/>
                <w:szCs w:val="21"/>
                <w:highlight w:val="none"/>
              </w:rPr>
              <w:t xml:space="preserve">（2）方案描述较清晰，内容全面，方案措施基本满足采购需求，实际可行的，得6分；</w:t>
            </w:r>
            <w:r/>
          </w:p>
          <w:p>
            <w:pPr>
              <w:keepLines w:val="0"/>
              <w:keepNext w:val="0"/>
              <w:pageBreakBefore w:val="0"/>
              <w:spacing w:after="0" w:line="300" w:lineRule="exact"/>
              <w:rPr>
                <w:rFonts w:ascii="宋体" w:hAnsi="宋体" w:cstheme="minorBidi"/>
                <w:color w:val="auto"/>
                <w:szCs w:val="21"/>
                <w:highlight w:val="none"/>
              </w:rPr>
            </w:pPr>
            <w:r>
              <w:rPr>
                <w:rFonts w:hint="eastAsia" w:ascii="宋体" w:hAnsi="宋体" w:cstheme="minorBidi"/>
                <w:color w:val="auto"/>
                <w:szCs w:val="21"/>
                <w:highlight w:val="none"/>
              </w:rPr>
              <w:t xml:space="preserve"> </w:t>
            </w:r>
            <w:r>
              <w:rPr>
                <w:rFonts w:ascii="宋体" w:hAnsi="宋体" w:cstheme="minorBidi"/>
                <w:color w:val="auto"/>
                <w:szCs w:val="21"/>
                <w:highlight w:val="none"/>
              </w:rPr>
              <w:t xml:space="preserve"> </w:t>
            </w:r>
            <w:r>
              <w:rPr>
                <w:rFonts w:hint="eastAsia" w:ascii="宋体" w:hAnsi="宋体" w:cstheme="minorBidi"/>
                <w:color w:val="auto"/>
                <w:szCs w:val="21"/>
                <w:highlight w:val="none"/>
              </w:rPr>
              <w:t xml:space="preserve">（3）方案描述模糊，内容有所疏漏，方案措施不太全面，得3分； </w:t>
            </w:r>
            <w:r/>
          </w:p>
          <w:p>
            <w:pPr>
              <w:ind w:firstLine="210"/>
              <w:keepLines w:val="0"/>
              <w:keepNext w:val="0"/>
              <w:pageBreakBefore w:val="0"/>
              <w:spacing w:after="0" w:line="300" w:lineRule="exact"/>
              <w:rPr>
                <w:rFonts w:ascii="宋体" w:hAnsi="宋体"/>
                <w:color w:val="auto"/>
                <w:szCs w:val="21"/>
                <w:highlight w:val="none"/>
              </w:rPr>
            </w:pPr>
            <w:r>
              <w:rPr>
                <w:rFonts w:hint="eastAsia" w:ascii="宋体" w:hAnsi="宋体" w:cstheme="minorBidi"/>
                <w:color w:val="auto"/>
                <w:szCs w:val="21"/>
                <w:highlight w:val="none"/>
              </w:rPr>
              <w:t xml:space="preserve">（4）未提供不得分。</w:t>
            </w:r>
            <w:r/>
          </w:p>
        </w:tc>
      </w:tr>
      <w:tr>
        <w:trPr>
          <w:jc w:val="center"/>
          <w:trHeight w:val="3379"/>
        </w:trPr>
        <w:tc>
          <w:tcPr>
            <w:tcMar>
              <w:left w:w="15" w:type="dxa"/>
              <w:top w:w="15" w:type="dxa"/>
              <w:right w:w="15" w:type="dxa"/>
              <w:bottom w:w="0" w:type="dxa"/>
            </w:tcMar>
            <w:tcW w:w="656" w:type="dxa"/>
            <w:vAlign w:val="center"/>
            <w:vMerge w:val="continue"/>
            <w:textDirection w:val="lrTb"/>
            <w:noWrap w:val="false"/>
          </w:tcPr>
          <w:p>
            <w:pPr>
              <w:jc w:val="center"/>
              <w:keepLines w:val="0"/>
              <w:keepNext w:val="0"/>
              <w:pageBreakBefore w:val="0"/>
              <w:spacing w:line="300" w:lineRule="exact"/>
              <w:rPr>
                <w:rFonts w:ascii="宋体" w:hAnsi="宋体" w:cs="宋体"/>
                <w:color w:val="auto"/>
                <w:szCs w:val="21"/>
                <w:highlight w:val="none"/>
              </w:rPr>
            </w:pPr>
            <w:r>
              <w:rPr>
                <w:rFonts w:ascii="宋体" w:hAnsi="宋体" w:cs="宋体"/>
                <w:color w:val="auto"/>
                <w:szCs w:val="21"/>
                <w:highlight w:val="none"/>
              </w:rPr>
            </w:r>
            <w:r/>
          </w:p>
        </w:tc>
        <w:tc>
          <w:tcPr>
            <w:tcMar>
              <w:left w:w="15" w:type="dxa"/>
              <w:top w:w="15" w:type="dxa"/>
              <w:right w:w="15" w:type="dxa"/>
              <w:bottom w:w="0" w:type="dxa"/>
            </w:tcMar>
            <w:tcW w:w="1180" w:type="dxa"/>
            <w:vAlign w:val="center"/>
            <w:vMerge w:val="continue"/>
            <w:textDirection w:val="lrTb"/>
            <w:noWrap w:val="false"/>
          </w:tcPr>
          <w:p>
            <w:pPr>
              <w:jc w:val="center"/>
              <w:keepLines w:val="0"/>
              <w:keepNext w:val="0"/>
              <w:pageBreakBefore w:val="0"/>
              <w:spacing w:line="300" w:lineRule="exact"/>
              <w:rPr>
                <w:rFonts w:ascii="宋体" w:hAnsi="宋体" w:cs="宋体"/>
                <w:color w:val="auto"/>
                <w:spacing w:val="-6"/>
                <w:szCs w:val="21"/>
                <w:highlight w:val="none"/>
              </w:rPr>
            </w:pPr>
            <w:r>
              <w:rPr>
                <w:rFonts w:ascii="宋体" w:hAnsi="宋体" w:cs="宋体"/>
                <w:color w:val="auto"/>
                <w:spacing w:val="-6"/>
                <w:szCs w:val="21"/>
                <w:highlight w:val="none"/>
              </w:rPr>
            </w:r>
            <w:r/>
          </w:p>
        </w:tc>
        <w:tc>
          <w:tcPr>
            <w:tcMar>
              <w:left w:w="15" w:type="dxa"/>
              <w:top w:w="15" w:type="dxa"/>
              <w:right w:w="15" w:type="dxa"/>
              <w:bottom w:w="0" w:type="dxa"/>
            </w:tcMar>
            <w:tcW w:w="7988" w:type="dxa"/>
            <w:vAlign w:val="center"/>
            <w:textDirection w:val="lrTb"/>
            <w:noWrap w:val="false"/>
          </w:tcPr>
          <w:p>
            <w:pPr>
              <w:ind w:firstLine="422"/>
              <w:keepLines w:val="0"/>
              <w:keepNext w:val="0"/>
              <w:pageBreakBefore w:val="0"/>
              <w:spacing w:after="0" w:line="300" w:lineRule="exact"/>
              <w:rPr>
                <w:rFonts w:ascii="宋体" w:hAnsi="宋体" w:cs="宋体"/>
                <w:b/>
                <w:bCs/>
                <w:color w:val="auto"/>
                <w:szCs w:val="21"/>
                <w:highlight w:val="none"/>
              </w:rPr>
            </w:pPr>
            <w:r>
              <w:rPr>
                <w:rFonts w:hint="eastAsia" w:ascii="宋体" w:hAnsi="宋体"/>
                <w:b/>
                <w:bCs/>
                <w:color w:val="auto"/>
                <w:szCs w:val="21"/>
                <w:highlight w:val="none"/>
              </w:rPr>
              <w:t xml:space="preserve">2.</w:t>
            </w:r>
            <w:r>
              <w:rPr>
                <w:rFonts w:hint="eastAsia" w:ascii="宋体" w:hAnsi="宋体" w:cs="宋体"/>
                <w:b/>
                <w:bCs/>
                <w:color w:val="auto"/>
                <w:szCs w:val="21"/>
                <w:highlight w:val="none"/>
              </w:rPr>
              <w:t xml:space="preserve">养护作业方案（9分）</w:t>
            </w:r>
            <w:r/>
          </w:p>
          <w:p>
            <w:pPr>
              <w:ind w:firstLine="420"/>
              <w:keepLines w:val="0"/>
              <w:keepNext w:val="0"/>
              <w:pageBreakBefore w:val="0"/>
              <w:spacing w:after="0" w:line="300" w:lineRule="exact"/>
              <w:rPr>
                <w:rFonts w:ascii="宋体" w:hAnsi="宋体" w:cs="宋体"/>
                <w:color w:val="auto"/>
                <w:szCs w:val="21"/>
                <w:highlight w:val="none"/>
              </w:rPr>
            </w:pPr>
            <w:r>
              <w:rPr>
                <w:rFonts w:hint="eastAsia" w:ascii="宋体" w:hAnsi="宋体" w:cs="宋体"/>
                <w:color w:val="auto"/>
                <w:szCs w:val="21"/>
                <w:highlight w:val="none"/>
              </w:rPr>
              <w:t xml:space="preserve">评委根据供应商提出的绿雕、地面花卉更换方案的艺术性、可行性、先进性、合理性进行综合评分，具体包含：修剪、补植、浇水、施肥、治虫、卫生保洁等方案进行综合评分： </w:t>
            </w:r>
            <w:r/>
          </w:p>
          <w:p>
            <w:pPr>
              <w:ind w:firstLine="210"/>
              <w:keepLines w:val="0"/>
              <w:keepNext w:val="0"/>
              <w:pageBreakBefore w:val="0"/>
              <w:spacing w:after="0" w:line="300" w:lineRule="exact"/>
              <w:rPr>
                <w:rFonts w:ascii="宋体" w:hAnsi="宋体" w:cstheme="minorBidi"/>
                <w:color w:val="auto"/>
                <w:szCs w:val="21"/>
                <w:highlight w:val="none"/>
              </w:rPr>
            </w:pPr>
            <w:r>
              <w:rPr>
                <w:rFonts w:hint="eastAsia" w:ascii="宋体" w:hAnsi="宋体" w:cstheme="minorBidi"/>
                <w:color w:val="auto"/>
                <w:szCs w:val="21"/>
                <w:highlight w:val="none"/>
              </w:rPr>
              <w:t xml:space="preserve">（1）方案描述清晰，内容全面具体，方案措施满足采购需求，实际可行的，得9分； </w:t>
            </w:r>
            <w:r/>
          </w:p>
          <w:p>
            <w:pPr>
              <w:ind w:firstLine="210"/>
              <w:keepLines w:val="0"/>
              <w:keepNext w:val="0"/>
              <w:pageBreakBefore w:val="0"/>
              <w:spacing w:after="0" w:line="300" w:lineRule="exact"/>
              <w:rPr>
                <w:rFonts w:ascii="宋体" w:hAnsi="宋体" w:cstheme="minorBidi"/>
                <w:color w:val="auto"/>
                <w:szCs w:val="21"/>
                <w:highlight w:val="none"/>
              </w:rPr>
            </w:pPr>
            <w:r>
              <w:rPr>
                <w:rFonts w:hint="eastAsia" w:ascii="宋体" w:hAnsi="宋体" w:cstheme="minorBidi"/>
                <w:color w:val="auto"/>
                <w:szCs w:val="21"/>
                <w:highlight w:val="none"/>
              </w:rPr>
              <w:t xml:space="preserve">（2）方案描述较清晰，内容全面，方案措施基本满足采购需求，实际可行的，得6分；</w:t>
            </w:r>
            <w:r/>
          </w:p>
          <w:p>
            <w:pPr>
              <w:keepLines w:val="0"/>
              <w:keepNext w:val="0"/>
              <w:pageBreakBefore w:val="0"/>
              <w:spacing w:after="0" w:line="300" w:lineRule="exact"/>
              <w:rPr>
                <w:rFonts w:ascii="宋体" w:hAnsi="宋体" w:cstheme="minorBidi"/>
                <w:color w:val="auto"/>
                <w:szCs w:val="21"/>
                <w:highlight w:val="none"/>
              </w:rPr>
            </w:pPr>
            <w:r>
              <w:rPr>
                <w:rFonts w:hint="eastAsia" w:ascii="宋体" w:hAnsi="宋体" w:cstheme="minorBidi"/>
                <w:color w:val="auto"/>
                <w:szCs w:val="21"/>
                <w:highlight w:val="none"/>
              </w:rPr>
              <w:t xml:space="preserve"> </w:t>
            </w:r>
            <w:r>
              <w:rPr>
                <w:rFonts w:ascii="宋体" w:hAnsi="宋体" w:cstheme="minorBidi"/>
                <w:color w:val="auto"/>
                <w:szCs w:val="21"/>
                <w:highlight w:val="none"/>
              </w:rPr>
              <w:t xml:space="preserve"> </w:t>
            </w:r>
            <w:r>
              <w:rPr>
                <w:rFonts w:hint="eastAsia" w:ascii="宋体" w:hAnsi="宋体" w:cstheme="minorBidi"/>
                <w:color w:val="auto"/>
                <w:szCs w:val="21"/>
                <w:highlight w:val="none"/>
              </w:rPr>
              <w:t xml:space="preserve">（3）方案描述模糊，内容有所疏漏，方案措施不太全面，得3分； </w:t>
            </w:r>
            <w:r/>
          </w:p>
          <w:p>
            <w:pPr>
              <w:ind w:firstLine="210"/>
              <w:keepLines w:val="0"/>
              <w:keepNext w:val="0"/>
              <w:pageBreakBefore w:val="0"/>
              <w:spacing w:after="0" w:line="300" w:lineRule="exact"/>
              <w:rPr>
                <w:rFonts w:ascii="宋体" w:hAnsi="宋体"/>
                <w:color w:val="auto"/>
                <w:szCs w:val="21"/>
                <w:highlight w:val="none"/>
              </w:rPr>
            </w:pPr>
            <w:r>
              <w:rPr>
                <w:rFonts w:hint="eastAsia" w:ascii="宋体" w:hAnsi="宋体" w:cstheme="minorBidi"/>
                <w:color w:val="auto"/>
                <w:szCs w:val="21"/>
                <w:highlight w:val="none"/>
              </w:rPr>
              <w:t xml:space="preserve">（4）未提供不得分。</w:t>
            </w:r>
            <w:r/>
          </w:p>
        </w:tc>
      </w:tr>
      <w:tr>
        <w:trPr>
          <w:jc w:val="center"/>
          <w:trHeight w:val="2698"/>
        </w:trPr>
        <w:tc>
          <w:tcPr>
            <w:tcMar>
              <w:left w:w="15" w:type="dxa"/>
              <w:top w:w="15" w:type="dxa"/>
              <w:right w:w="15" w:type="dxa"/>
              <w:bottom w:w="0" w:type="dxa"/>
            </w:tcMar>
            <w:tcW w:w="656" w:type="dxa"/>
            <w:vAlign w:val="center"/>
            <w:vMerge w:val="continue"/>
            <w:textDirection w:val="lrTb"/>
            <w:noWrap w:val="false"/>
          </w:tcPr>
          <w:p>
            <w:pPr>
              <w:jc w:val="center"/>
              <w:keepLines w:val="0"/>
              <w:keepNext w:val="0"/>
              <w:pageBreakBefore w:val="0"/>
              <w:spacing w:line="300" w:lineRule="exact"/>
              <w:rPr>
                <w:rFonts w:ascii="宋体" w:hAnsi="宋体" w:cs="宋体"/>
                <w:color w:val="auto"/>
                <w:szCs w:val="21"/>
                <w:highlight w:val="none"/>
              </w:rPr>
            </w:pPr>
            <w:r>
              <w:rPr>
                <w:rFonts w:ascii="宋体" w:hAnsi="宋体" w:cs="宋体"/>
                <w:color w:val="auto"/>
                <w:szCs w:val="21"/>
                <w:highlight w:val="none"/>
              </w:rPr>
            </w:r>
            <w:r/>
          </w:p>
        </w:tc>
        <w:tc>
          <w:tcPr>
            <w:tcMar>
              <w:left w:w="15" w:type="dxa"/>
              <w:top w:w="15" w:type="dxa"/>
              <w:right w:w="15" w:type="dxa"/>
              <w:bottom w:w="0" w:type="dxa"/>
            </w:tcMar>
            <w:tcW w:w="1180" w:type="dxa"/>
            <w:vAlign w:val="center"/>
            <w:vMerge w:val="continue"/>
            <w:textDirection w:val="lrTb"/>
            <w:noWrap w:val="false"/>
          </w:tcPr>
          <w:p>
            <w:pPr>
              <w:jc w:val="center"/>
              <w:keepLines w:val="0"/>
              <w:keepNext w:val="0"/>
              <w:pageBreakBefore w:val="0"/>
              <w:spacing w:line="300" w:lineRule="exact"/>
              <w:rPr>
                <w:rFonts w:ascii="宋体" w:hAnsi="宋体" w:cs="宋体"/>
                <w:color w:val="auto"/>
                <w:spacing w:val="-6"/>
                <w:szCs w:val="21"/>
                <w:highlight w:val="none"/>
              </w:rPr>
            </w:pPr>
            <w:r>
              <w:rPr>
                <w:rFonts w:ascii="宋体" w:hAnsi="宋体" w:cs="宋体"/>
                <w:color w:val="auto"/>
                <w:spacing w:val="-6"/>
                <w:szCs w:val="21"/>
                <w:highlight w:val="none"/>
              </w:rPr>
            </w:r>
            <w:r/>
          </w:p>
        </w:tc>
        <w:tc>
          <w:tcPr>
            <w:tcMar>
              <w:left w:w="15" w:type="dxa"/>
              <w:top w:w="15" w:type="dxa"/>
              <w:right w:w="15" w:type="dxa"/>
              <w:bottom w:w="0" w:type="dxa"/>
            </w:tcMar>
            <w:tcW w:w="7988" w:type="dxa"/>
            <w:vAlign w:val="center"/>
            <w:textDirection w:val="lrTb"/>
            <w:noWrap w:val="false"/>
          </w:tcPr>
          <w:p>
            <w:pPr>
              <w:ind w:firstLine="422"/>
              <w:keepLines w:val="0"/>
              <w:keepNext w:val="0"/>
              <w:pageBreakBefore w:val="0"/>
              <w:spacing w:after="0" w:line="300" w:lineRule="exact"/>
              <w:rPr>
                <w:rFonts w:ascii="宋体" w:hAnsi="宋体" w:cstheme="minorBidi"/>
                <w:b/>
                <w:bCs/>
                <w:color w:val="auto"/>
                <w:szCs w:val="21"/>
                <w:highlight w:val="none"/>
              </w:rPr>
            </w:pPr>
            <w:r>
              <w:rPr>
                <w:rFonts w:hint="eastAsia" w:ascii="宋体" w:hAnsi="宋体" w:cstheme="minorBidi"/>
                <w:b/>
                <w:bCs/>
                <w:color w:val="auto"/>
                <w:szCs w:val="21"/>
                <w:highlight w:val="none"/>
              </w:rPr>
              <w:t xml:space="preserve">3</w:t>
            </w:r>
            <w:r>
              <w:rPr>
                <w:rFonts w:ascii="宋体" w:hAnsi="宋体" w:cstheme="minorBidi"/>
                <w:b/>
                <w:bCs/>
                <w:color w:val="auto"/>
                <w:szCs w:val="21"/>
                <w:highlight w:val="none"/>
              </w:rPr>
              <w:t xml:space="preserve">.</w:t>
            </w:r>
            <w:r>
              <w:rPr>
                <w:rFonts w:hint="eastAsia" w:ascii="宋体" w:hAnsi="宋体" w:cstheme="minorBidi"/>
                <w:b/>
                <w:bCs/>
                <w:color w:val="auto"/>
                <w:szCs w:val="21"/>
                <w:highlight w:val="none"/>
              </w:rPr>
              <w:t xml:space="preserve">应急处置方案（9分）</w:t>
            </w:r>
            <w:r/>
          </w:p>
          <w:p>
            <w:pPr>
              <w:ind w:firstLine="420"/>
              <w:keepLines w:val="0"/>
              <w:keepNext w:val="0"/>
              <w:pageBreakBefore w:val="0"/>
              <w:spacing w:after="0" w:line="300" w:lineRule="exact"/>
              <w:rPr>
                <w:rFonts w:ascii="宋体" w:hAnsi="宋体" w:cstheme="minorBidi"/>
                <w:color w:val="auto"/>
                <w:szCs w:val="21"/>
                <w:highlight w:val="none"/>
              </w:rPr>
            </w:pPr>
            <w:r>
              <w:rPr>
                <w:rFonts w:hint="eastAsia" w:ascii="宋体" w:hAnsi="宋体" w:cstheme="minorBidi"/>
                <w:color w:val="auto"/>
                <w:szCs w:val="21"/>
                <w:highlight w:val="none"/>
              </w:rPr>
              <w:t xml:space="preserve">根据响应文件提供的应急处置方案</w:t>
            </w:r>
            <w:r>
              <w:rPr>
                <w:rFonts w:hint="eastAsia" w:ascii="宋体" w:hAnsi="宋体" w:cstheme="minorBidi"/>
                <w:color w:val="auto"/>
                <w:szCs w:val="21"/>
                <w:highlight w:val="none"/>
                <w:lang w:val="en-US" w:eastAsia="zh-CN"/>
              </w:rPr>
              <w:t xml:space="preserve">(</w:t>
            </w:r>
            <w:r>
              <w:rPr>
                <w:rFonts w:hint="eastAsia" w:ascii="宋体" w:hAnsi="宋体" w:cstheme="minorBidi"/>
                <w:color w:val="auto"/>
                <w:szCs w:val="21"/>
                <w:highlight w:val="none"/>
              </w:rPr>
              <w:t xml:space="preserve">包括但不限于雨雪防冻应急处置，防汛防灾应急处置，路面突发情况、迎查、重大活动</w:t>
            </w:r>
            <w:r>
              <w:rPr>
                <w:rFonts w:hint="eastAsia" w:ascii="宋体" w:hAnsi="宋体" w:cstheme="minorBidi"/>
                <w:color w:val="auto"/>
                <w:szCs w:val="21"/>
                <w:highlight w:val="none"/>
                <w:lang w:val="en-US" w:eastAsia="zh-CN"/>
              </w:rPr>
              <w:t xml:space="preserve">)</w:t>
            </w:r>
            <w:r>
              <w:rPr>
                <w:rFonts w:hint="eastAsia" w:ascii="宋体" w:hAnsi="宋体" w:cstheme="minorBidi"/>
                <w:color w:val="auto"/>
                <w:szCs w:val="21"/>
                <w:highlight w:val="none"/>
              </w:rPr>
              <w:t xml:space="preserve">，评委对比各投标文件提供的应急处置工作方案酌情评分： </w:t>
            </w:r>
            <w:r/>
          </w:p>
          <w:p>
            <w:pPr>
              <w:ind w:firstLine="210"/>
              <w:keepLines w:val="0"/>
              <w:keepNext w:val="0"/>
              <w:pageBreakBefore w:val="0"/>
              <w:spacing w:after="0" w:line="300" w:lineRule="exact"/>
              <w:rPr>
                <w:rFonts w:ascii="宋体" w:hAnsi="宋体" w:cstheme="minorBidi"/>
                <w:color w:val="auto"/>
                <w:szCs w:val="21"/>
                <w:highlight w:val="none"/>
              </w:rPr>
            </w:pPr>
            <w:r>
              <w:rPr>
                <w:rFonts w:hint="eastAsia" w:ascii="宋体" w:hAnsi="宋体" w:cstheme="minorBidi"/>
                <w:color w:val="auto"/>
                <w:szCs w:val="21"/>
                <w:highlight w:val="none"/>
              </w:rPr>
              <w:t xml:space="preserve">（1）方案描述清晰，内容全面具体，方案措施满足采购需求，实际可行的，得9分； </w:t>
            </w:r>
            <w:r/>
          </w:p>
          <w:p>
            <w:pPr>
              <w:ind w:firstLine="210"/>
              <w:keepLines w:val="0"/>
              <w:keepNext w:val="0"/>
              <w:pageBreakBefore w:val="0"/>
              <w:spacing w:after="0" w:line="300" w:lineRule="exact"/>
              <w:rPr>
                <w:rFonts w:ascii="宋体" w:hAnsi="宋体" w:cstheme="minorBidi"/>
                <w:color w:val="auto"/>
                <w:szCs w:val="21"/>
                <w:highlight w:val="none"/>
              </w:rPr>
            </w:pPr>
            <w:r>
              <w:rPr>
                <w:rFonts w:hint="eastAsia" w:ascii="宋体" w:hAnsi="宋体" w:cstheme="minorBidi"/>
                <w:color w:val="auto"/>
                <w:szCs w:val="21"/>
                <w:highlight w:val="none"/>
              </w:rPr>
              <w:t xml:space="preserve">（2）方案描述较清晰，内容全面，方案措施基本满足采购需求，实际可行的，得6分；</w:t>
            </w:r>
            <w:r/>
          </w:p>
          <w:p>
            <w:pPr>
              <w:keepLines w:val="0"/>
              <w:keepNext w:val="0"/>
              <w:pageBreakBefore w:val="0"/>
              <w:spacing w:after="0" w:line="300" w:lineRule="exact"/>
              <w:rPr>
                <w:rFonts w:ascii="宋体" w:hAnsi="宋体" w:cstheme="minorBidi"/>
                <w:color w:val="auto"/>
                <w:szCs w:val="21"/>
                <w:highlight w:val="none"/>
              </w:rPr>
            </w:pPr>
            <w:r>
              <w:rPr>
                <w:rFonts w:hint="eastAsia" w:ascii="宋体" w:hAnsi="宋体" w:cstheme="minorBidi"/>
                <w:color w:val="auto"/>
                <w:szCs w:val="21"/>
                <w:highlight w:val="none"/>
              </w:rPr>
              <w:t xml:space="preserve"> </w:t>
            </w:r>
            <w:r>
              <w:rPr>
                <w:rFonts w:ascii="宋体" w:hAnsi="宋体" w:cstheme="minorBidi"/>
                <w:color w:val="auto"/>
                <w:szCs w:val="21"/>
                <w:highlight w:val="none"/>
              </w:rPr>
              <w:t xml:space="preserve"> </w:t>
            </w:r>
            <w:r>
              <w:rPr>
                <w:rFonts w:hint="eastAsia" w:ascii="宋体" w:hAnsi="宋体" w:cstheme="minorBidi"/>
                <w:color w:val="auto"/>
                <w:szCs w:val="21"/>
                <w:highlight w:val="none"/>
              </w:rPr>
              <w:t xml:space="preserve">（3）方案描述模糊，内容有所疏漏，方案措施不太全面，得3分； </w:t>
            </w:r>
            <w:r/>
          </w:p>
          <w:p>
            <w:pPr>
              <w:ind w:firstLine="210"/>
              <w:keepLines w:val="0"/>
              <w:keepNext w:val="0"/>
              <w:pageBreakBefore w:val="0"/>
              <w:spacing w:after="0" w:line="300" w:lineRule="exact"/>
              <w:rPr>
                <w:rFonts w:ascii="宋体" w:hAnsi="宋体" w:cs="宋体"/>
                <w:color w:val="auto"/>
                <w:szCs w:val="21"/>
                <w:highlight w:val="none"/>
              </w:rPr>
            </w:pPr>
            <w:r>
              <w:rPr>
                <w:rFonts w:hint="eastAsia" w:ascii="宋体" w:hAnsi="宋体" w:cstheme="minorBidi"/>
                <w:color w:val="auto"/>
                <w:szCs w:val="21"/>
                <w:highlight w:val="none"/>
              </w:rPr>
              <w:t xml:space="preserve">（4）未提供不得分。</w:t>
            </w:r>
            <w:r/>
          </w:p>
        </w:tc>
      </w:tr>
      <w:tr>
        <w:trPr>
          <w:jc w:val="center"/>
          <w:trHeight w:val="567"/>
        </w:trPr>
        <w:tc>
          <w:tcPr>
            <w:tcMar>
              <w:left w:w="15" w:type="dxa"/>
              <w:top w:w="15" w:type="dxa"/>
              <w:right w:w="15" w:type="dxa"/>
              <w:bottom w:w="0" w:type="dxa"/>
            </w:tcMar>
            <w:tcW w:w="656" w:type="dxa"/>
            <w:vAlign w:val="center"/>
            <w:vMerge w:val="continue"/>
            <w:textDirection w:val="lrTb"/>
            <w:noWrap w:val="false"/>
          </w:tcPr>
          <w:p>
            <w:pPr>
              <w:jc w:val="center"/>
              <w:keepLines w:val="0"/>
              <w:keepNext w:val="0"/>
              <w:pageBreakBefore w:val="0"/>
              <w:spacing w:line="300" w:lineRule="exact"/>
              <w:rPr>
                <w:rFonts w:ascii="宋体" w:hAnsi="宋体" w:cs="宋体"/>
                <w:color w:val="auto"/>
                <w:szCs w:val="21"/>
                <w:highlight w:val="none"/>
              </w:rPr>
            </w:pPr>
            <w:r>
              <w:rPr>
                <w:rFonts w:ascii="宋体" w:hAnsi="宋体" w:cs="宋体"/>
                <w:color w:val="auto"/>
                <w:szCs w:val="21"/>
                <w:highlight w:val="none"/>
              </w:rPr>
            </w:r>
            <w:r/>
          </w:p>
        </w:tc>
        <w:tc>
          <w:tcPr>
            <w:tcMar>
              <w:left w:w="15" w:type="dxa"/>
              <w:top w:w="15" w:type="dxa"/>
              <w:right w:w="15" w:type="dxa"/>
              <w:bottom w:w="0" w:type="dxa"/>
            </w:tcMar>
            <w:tcW w:w="1180" w:type="dxa"/>
            <w:vAlign w:val="center"/>
            <w:vMerge w:val="continue"/>
            <w:textDirection w:val="lrTb"/>
            <w:noWrap w:val="false"/>
          </w:tcPr>
          <w:p>
            <w:pPr>
              <w:jc w:val="center"/>
              <w:keepLines w:val="0"/>
              <w:keepNext w:val="0"/>
              <w:pageBreakBefore w:val="0"/>
              <w:spacing w:line="300" w:lineRule="exact"/>
              <w:rPr>
                <w:rFonts w:ascii="宋体" w:hAnsi="宋体" w:cs="宋体"/>
                <w:color w:val="auto"/>
                <w:spacing w:val="-6"/>
                <w:szCs w:val="21"/>
                <w:highlight w:val="none"/>
              </w:rPr>
            </w:pPr>
            <w:r>
              <w:rPr>
                <w:rFonts w:ascii="宋体" w:hAnsi="宋体" w:cs="宋体"/>
                <w:color w:val="auto"/>
                <w:spacing w:val="-6"/>
                <w:szCs w:val="21"/>
                <w:highlight w:val="none"/>
              </w:rPr>
            </w:r>
            <w:r/>
          </w:p>
        </w:tc>
        <w:tc>
          <w:tcPr>
            <w:tcMar>
              <w:left w:w="15" w:type="dxa"/>
              <w:top w:w="15" w:type="dxa"/>
              <w:right w:w="15" w:type="dxa"/>
              <w:bottom w:w="0" w:type="dxa"/>
            </w:tcMar>
            <w:tcW w:w="7988" w:type="dxa"/>
            <w:vAlign w:val="center"/>
            <w:textDirection w:val="lrTb"/>
            <w:noWrap w:val="false"/>
          </w:tcPr>
          <w:p>
            <w:pPr>
              <w:ind w:firstLine="422"/>
              <w:keepLines w:val="0"/>
              <w:keepNext w:val="0"/>
              <w:pageBreakBefore w:val="0"/>
              <w:spacing w:after="0" w:line="300" w:lineRule="exact"/>
              <w:rPr>
                <w:rFonts w:ascii="宋体" w:hAnsi="宋体" w:cstheme="minorBidi"/>
                <w:b/>
                <w:bCs/>
                <w:color w:val="auto"/>
                <w:szCs w:val="21"/>
                <w:highlight w:val="none"/>
              </w:rPr>
            </w:pPr>
            <w:r>
              <w:rPr>
                <w:rFonts w:hint="eastAsia" w:ascii="宋体" w:hAnsi="宋体" w:cstheme="minorBidi"/>
                <w:b/>
                <w:bCs/>
                <w:color w:val="auto"/>
                <w:szCs w:val="21"/>
                <w:highlight w:val="none"/>
              </w:rPr>
              <w:t xml:space="preserve">4</w:t>
            </w:r>
            <w:r>
              <w:rPr>
                <w:rFonts w:ascii="宋体" w:hAnsi="宋体" w:cstheme="minorBidi"/>
                <w:b/>
                <w:bCs/>
                <w:color w:val="auto"/>
                <w:szCs w:val="21"/>
                <w:highlight w:val="none"/>
              </w:rPr>
              <w:t xml:space="preserve">.</w:t>
            </w:r>
            <w:r>
              <w:rPr>
                <w:rFonts w:hint="eastAsia" w:ascii="宋体" w:hAnsi="宋体" w:cstheme="minorBidi"/>
                <w:b/>
                <w:bCs/>
                <w:color w:val="auto"/>
                <w:szCs w:val="21"/>
                <w:highlight w:val="none"/>
              </w:rPr>
              <w:t xml:space="preserve">日常巡查管理方案（9分）</w:t>
            </w:r>
            <w:r/>
          </w:p>
          <w:p>
            <w:pPr>
              <w:ind w:firstLine="420"/>
              <w:keepLines w:val="0"/>
              <w:keepNext w:val="0"/>
              <w:pageBreakBefore w:val="0"/>
              <w:spacing w:after="0" w:line="300" w:lineRule="exact"/>
              <w:rPr>
                <w:rFonts w:ascii="宋体" w:hAnsi="宋体" w:cstheme="minorBidi"/>
                <w:color w:val="auto"/>
                <w:szCs w:val="21"/>
                <w:highlight w:val="none"/>
              </w:rPr>
            </w:pPr>
            <w:r>
              <w:rPr>
                <w:rFonts w:hint="eastAsia" w:ascii="宋体" w:hAnsi="宋体" w:cstheme="minorBidi"/>
                <w:color w:val="auto"/>
                <w:szCs w:val="21"/>
                <w:highlight w:val="none"/>
              </w:rPr>
              <w:t xml:space="preserve">供应商制定针对本项目的日常巡查管理工作方案，评委对比各投标文件提供的巡查管理方案酌情评分： </w:t>
            </w:r>
            <w:r/>
          </w:p>
          <w:p>
            <w:pPr>
              <w:ind w:firstLine="210"/>
              <w:keepLines w:val="0"/>
              <w:keepNext w:val="0"/>
              <w:pageBreakBefore w:val="0"/>
              <w:spacing w:after="0" w:line="300" w:lineRule="exact"/>
              <w:rPr>
                <w:rFonts w:ascii="宋体" w:hAnsi="宋体" w:cstheme="minorBidi"/>
                <w:color w:val="auto"/>
                <w:szCs w:val="21"/>
                <w:highlight w:val="none"/>
              </w:rPr>
            </w:pPr>
            <w:r>
              <w:rPr>
                <w:rFonts w:hint="eastAsia" w:ascii="宋体" w:hAnsi="宋体" w:cstheme="minorBidi"/>
                <w:color w:val="auto"/>
                <w:szCs w:val="21"/>
                <w:highlight w:val="none"/>
              </w:rPr>
              <w:t xml:space="preserve">（1）方案描述清晰，内容全面具体，方案措施满足采购需求，实际可行的，得9分； </w:t>
            </w:r>
            <w:r/>
          </w:p>
          <w:p>
            <w:pPr>
              <w:ind w:firstLine="210"/>
              <w:keepLines w:val="0"/>
              <w:keepNext w:val="0"/>
              <w:pageBreakBefore w:val="0"/>
              <w:spacing w:after="0" w:line="300" w:lineRule="exact"/>
              <w:rPr>
                <w:rFonts w:ascii="宋体" w:hAnsi="宋体" w:cstheme="minorBidi"/>
                <w:color w:val="auto"/>
                <w:szCs w:val="21"/>
                <w:highlight w:val="none"/>
              </w:rPr>
            </w:pPr>
            <w:r>
              <w:rPr>
                <w:rFonts w:hint="eastAsia" w:ascii="宋体" w:hAnsi="宋体" w:cstheme="minorBidi"/>
                <w:color w:val="auto"/>
                <w:szCs w:val="21"/>
                <w:highlight w:val="none"/>
              </w:rPr>
              <w:t xml:space="preserve">（2）方案描述较清晰，内容全面，方案措施基本满足采购需求，实际可行的，得6分； </w:t>
            </w:r>
            <w:r/>
          </w:p>
          <w:p>
            <w:pPr>
              <w:ind w:firstLine="210"/>
              <w:keepLines w:val="0"/>
              <w:keepNext w:val="0"/>
              <w:pageBreakBefore w:val="0"/>
              <w:spacing w:after="0" w:line="300" w:lineRule="exact"/>
              <w:rPr>
                <w:rFonts w:ascii="宋体" w:hAnsi="宋体" w:cstheme="minorBidi"/>
                <w:color w:val="auto"/>
                <w:szCs w:val="21"/>
                <w:highlight w:val="none"/>
              </w:rPr>
            </w:pPr>
            <w:r>
              <w:rPr>
                <w:rFonts w:hint="eastAsia" w:ascii="宋体" w:hAnsi="宋体" w:cstheme="minorBidi"/>
                <w:color w:val="auto"/>
                <w:szCs w:val="21"/>
                <w:highlight w:val="none"/>
              </w:rPr>
              <w:t xml:space="preserve">（3）方案描述模糊，内容有所疏漏，方案措施不太全面，得3分； </w:t>
            </w:r>
            <w:r/>
          </w:p>
          <w:p>
            <w:pPr>
              <w:ind w:firstLine="210"/>
              <w:jc w:val="left"/>
              <w:keepLines w:val="0"/>
              <w:keepNext w:val="0"/>
              <w:pageBreakBefore w:val="0"/>
              <w:spacing w:after="0" w:line="300" w:lineRule="exact"/>
              <w:rPr>
                <w:rFonts w:ascii="宋体" w:hAnsi="宋体" w:cs="宋体"/>
                <w:color w:val="auto"/>
                <w:szCs w:val="21"/>
                <w:highlight w:val="none"/>
              </w:rPr>
            </w:pPr>
            <w:r>
              <w:rPr>
                <w:rFonts w:hint="eastAsia" w:ascii="宋体" w:hAnsi="宋体" w:cstheme="minorBidi"/>
                <w:color w:val="auto"/>
                <w:szCs w:val="21"/>
                <w:highlight w:val="none"/>
              </w:rPr>
              <w:t xml:space="preserve">（4）未提供不得分。</w:t>
            </w:r>
            <w:r/>
          </w:p>
        </w:tc>
      </w:tr>
      <w:tr>
        <w:trPr>
          <w:jc w:val="center"/>
          <w:trHeight w:val="1739"/>
        </w:trPr>
        <w:tc>
          <w:tcPr>
            <w:tcMar>
              <w:left w:w="15" w:type="dxa"/>
              <w:top w:w="15" w:type="dxa"/>
              <w:right w:w="15" w:type="dxa"/>
              <w:bottom w:w="0" w:type="dxa"/>
            </w:tcMar>
            <w:tcW w:w="656" w:type="dxa"/>
            <w:vAlign w:val="center"/>
            <w:vMerge w:val="continue"/>
            <w:textDirection w:val="lrTb"/>
            <w:noWrap w:val="false"/>
          </w:tcPr>
          <w:p>
            <w:pPr>
              <w:jc w:val="center"/>
              <w:keepLines w:val="0"/>
              <w:keepNext w:val="0"/>
              <w:pageBreakBefore w:val="0"/>
              <w:spacing w:line="300" w:lineRule="exact"/>
              <w:rPr>
                <w:rFonts w:ascii="宋体" w:hAnsi="宋体" w:cs="宋体"/>
                <w:color w:val="auto"/>
                <w:szCs w:val="21"/>
                <w:highlight w:val="none"/>
              </w:rPr>
            </w:pPr>
            <w:r>
              <w:rPr>
                <w:rFonts w:ascii="宋体" w:hAnsi="宋体" w:cs="宋体"/>
                <w:color w:val="auto"/>
                <w:szCs w:val="21"/>
                <w:highlight w:val="none"/>
              </w:rPr>
            </w:r>
            <w:r/>
          </w:p>
        </w:tc>
        <w:tc>
          <w:tcPr>
            <w:tcMar>
              <w:left w:w="15" w:type="dxa"/>
              <w:top w:w="15" w:type="dxa"/>
              <w:right w:w="15" w:type="dxa"/>
              <w:bottom w:w="0" w:type="dxa"/>
            </w:tcMar>
            <w:tcW w:w="1180" w:type="dxa"/>
            <w:vAlign w:val="center"/>
            <w:vMerge w:val="continue"/>
            <w:textDirection w:val="lrTb"/>
            <w:noWrap w:val="false"/>
          </w:tcPr>
          <w:p>
            <w:pPr>
              <w:jc w:val="center"/>
              <w:keepLines w:val="0"/>
              <w:keepNext w:val="0"/>
              <w:pageBreakBefore w:val="0"/>
              <w:spacing w:line="300" w:lineRule="exact"/>
              <w:rPr>
                <w:rFonts w:ascii="宋体" w:hAnsi="宋体" w:cs="宋体"/>
                <w:color w:val="auto"/>
                <w:spacing w:val="-6"/>
                <w:szCs w:val="21"/>
                <w:highlight w:val="none"/>
              </w:rPr>
            </w:pPr>
            <w:r>
              <w:rPr>
                <w:rFonts w:ascii="宋体" w:hAnsi="宋体" w:cs="宋体"/>
                <w:color w:val="auto"/>
                <w:spacing w:val="-6"/>
                <w:szCs w:val="21"/>
                <w:highlight w:val="none"/>
              </w:rPr>
            </w:r>
            <w:r/>
          </w:p>
        </w:tc>
        <w:tc>
          <w:tcPr>
            <w:tcMar>
              <w:left w:w="15" w:type="dxa"/>
              <w:top w:w="15" w:type="dxa"/>
              <w:right w:w="15" w:type="dxa"/>
              <w:bottom w:w="0" w:type="dxa"/>
            </w:tcMar>
            <w:tcW w:w="7988" w:type="dxa"/>
            <w:vAlign w:val="center"/>
            <w:textDirection w:val="lrTb"/>
            <w:noWrap w:val="false"/>
          </w:tcPr>
          <w:p>
            <w:pPr>
              <w:ind w:firstLine="422"/>
              <w:keepLines w:val="0"/>
              <w:keepNext w:val="0"/>
              <w:pageBreakBefore w:val="0"/>
              <w:spacing w:after="0" w:line="300" w:lineRule="exact"/>
              <w:rPr>
                <w:rFonts w:ascii="宋体" w:hAnsi="宋体" w:cstheme="minorBidi"/>
                <w:b/>
                <w:bCs/>
                <w:color w:val="auto"/>
                <w:szCs w:val="21"/>
                <w:highlight w:val="none"/>
              </w:rPr>
            </w:pPr>
            <w:r>
              <w:rPr>
                <w:rFonts w:ascii="宋体" w:hAnsi="宋体" w:cstheme="minorBidi"/>
                <w:b/>
                <w:bCs/>
                <w:color w:val="auto"/>
                <w:szCs w:val="21"/>
                <w:highlight w:val="none"/>
              </w:rPr>
              <w:t xml:space="preserve">5.</w:t>
            </w:r>
            <w:r>
              <w:rPr>
                <w:rFonts w:hint="eastAsia" w:ascii="宋体" w:hAnsi="宋体" w:cstheme="minorBidi"/>
                <w:b/>
                <w:bCs/>
                <w:color w:val="auto"/>
                <w:szCs w:val="21"/>
                <w:highlight w:val="none"/>
              </w:rPr>
              <w:t xml:space="preserve">人员管理方案（9分）</w:t>
            </w:r>
            <w:r/>
          </w:p>
          <w:p>
            <w:pPr>
              <w:ind w:firstLine="420"/>
              <w:keepLines w:val="0"/>
              <w:keepNext w:val="0"/>
              <w:pageBreakBefore w:val="0"/>
              <w:spacing w:after="0" w:line="300" w:lineRule="exact"/>
              <w:rPr>
                <w:rFonts w:ascii="宋体" w:hAnsi="宋体" w:cstheme="minorBidi"/>
                <w:color w:val="auto"/>
                <w:szCs w:val="21"/>
                <w:highlight w:val="none"/>
              </w:rPr>
            </w:pPr>
            <w:r>
              <w:rPr>
                <w:rFonts w:hint="eastAsia" w:ascii="宋体" w:hAnsi="宋体" w:cstheme="minorBidi"/>
                <w:color w:val="auto"/>
                <w:szCs w:val="21"/>
                <w:highlight w:val="none"/>
              </w:rPr>
              <w:t xml:space="preserve">针对人员配置及员工的培训（技能、服务等）、现场管理人员的培训（管理、领导力等）有完整的培训计划和实施举措进行评审： </w:t>
            </w:r>
            <w:r/>
          </w:p>
          <w:p>
            <w:pPr>
              <w:ind w:firstLine="210"/>
              <w:keepLines w:val="0"/>
              <w:keepNext w:val="0"/>
              <w:pageBreakBefore w:val="0"/>
              <w:spacing w:after="0" w:line="300" w:lineRule="exact"/>
              <w:rPr>
                <w:rFonts w:ascii="宋体" w:hAnsi="宋体" w:cstheme="minorBidi"/>
                <w:color w:val="auto"/>
                <w:szCs w:val="21"/>
                <w:highlight w:val="none"/>
              </w:rPr>
            </w:pPr>
            <w:r>
              <w:rPr>
                <w:rFonts w:hint="eastAsia" w:ascii="宋体" w:hAnsi="宋体" w:cstheme="minorBidi"/>
                <w:color w:val="auto"/>
                <w:szCs w:val="21"/>
                <w:highlight w:val="none"/>
              </w:rPr>
              <w:t xml:space="preserve">（1）管理制度科学合理，描述清晰具体，具有可操作性，得9分； </w:t>
            </w:r>
            <w:r/>
          </w:p>
          <w:p>
            <w:pPr>
              <w:ind w:firstLine="210"/>
              <w:keepLines w:val="0"/>
              <w:keepNext w:val="0"/>
              <w:pageBreakBefore w:val="0"/>
              <w:spacing w:after="0" w:line="300" w:lineRule="exact"/>
              <w:rPr>
                <w:rFonts w:ascii="宋体" w:hAnsi="宋体" w:cstheme="minorBidi"/>
                <w:color w:val="auto"/>
                <w:szCs w:val="21"/>
                <w:highlight w:val="none"/>
              </w:rPr>
            </w:pPr>
            <w:r>
              <w:rPr>
                <w:rFonts w:hint="eastAsia" w:ascii="宋体" w:hAnsi="宋体" w:cstheme="minorBidi"/>
                <w:color w:val="auto"/>
                <w:szCs w:val="21"/>
                <w:highlight w:val="none"/>
              </w:rPr>
              <w:t xml:space="preserve">（2）管理制度科学合理，描述具体，具有一定可操作性，得6分； </w:t>
            </w:r>
            <w:r/>
          </w:p>
          <w:p>
            <w:pPr>
              <w:ind w:firstLine="210"/>
              <w:keepLines w:val="0"/>
              <w:keepNext w:val="0"/>
              <w:pageBreakBefore w:val="0"/>
              <w:spacing w:after="0" w:line="300" w:lineRule="exact"/>
              <w:rPr>
                <w:rFonts w:ascii="宋体" w:hAnsi="宋体" w:cstheme="minorBidi"/>
                <w:color w:val="auto"/>
                <w:szCs w:val="21"/>
                <w:highlight w:val="none"/>
              </w:rPr>
            </w:pPr>
            <w:r>
              <w:rPr>
                <w:rFonts w:hint="eastAsia" w:ascii="宋体" w:hAnsi="宋体" w:cstheme="minorBidi"/>
                <w:color w:val="auto"/>
                <w:szCs w:val="21"/>
                <w:highlight w:val="none"/>
              </w:rPr>
              <w:t xml:space="preserve">（3）管理制度不切合实际，描述模糊的，得3分； </w:t>
            </w:r>
            <w:r/>
          </w:p>
          <w:p>
            <w:pPr>
              <w:ind w:firstLine="210"/>
              <w:jc w:val="left"/>
              <w:keepLines w:val="0"/>
              <w:keepNext w:val="0"/>
              <w:pageBreakBefore w:val="0"/>
              <w:spacing w:after="0" w:line="300" w:lineRule="exact"/>
              <w:rPr>
                <w:rFonts w:ascii="宋体" w:hAnsi="宋体" w:cs="宋体"/>
                <w:color w:val="auto"/>
                <w:szCs w:val="21"/>
                <w:highlight w:val="none"/>
              </w:rPr>
            </w:pPr>
            <w:r>
              <w:rPr>
                <w:rFonts w:hint="eastAsia" w:ascii="宋体" w:hAnsi="宋体" w:cstheme="minorBidi"/>
                <w:color w:val="auto"/>
                <w:szCs w:val="21"/>
                <w:highlight w:val="none"/>
              </w:rPr>
              <w:t xml:space="preserve">（4）未提供不得分。</w:t>
            </w:r>
            <w:r/>
          </w:p>
        </w:tc>
      </w:tr>
    </w:tbl>
    <w:p>
      <w:pPr>
        <w:ind w:firstLine="480"/>
        <w:keepLines w:val="0"/>
        <w:keepNext w:val="0"/>
        <w:pageBreakBefore w:val="0"/>
        <w:spacing w:after="0" w:line="160" w:lineRule="exact"/>
        <w:widowControl w:val="off"/>
        <w:rPr>
          <w:rFonts w:hint="eastAsia" w:ascii="宋体" w:hAnsi="宋体" w:cs="宋体"/>
          <w:color w:val="auto"/>
          <w:sz w:val="24"/>
          <w:highlight w:val="none"/>
          <w:lang w:bidi="ar"/>
        </w:rPr>
      </w:pPr>
      <w:r>
        <w:rPr>
          <w:rFonts w:hint="eastAsia" w:ascii="宋体" w:hAnsi="宋体" w:cs="宋体"/>
          <w:color w:val="auto"/>
          <w:sz w:val="24"/>
          <w:highlight w:val="none"/>
          <w:lang w:bidi="ar"/>
        </w:rPr>
      </w:r>
      <w:r/>
    </w:p>
    <w:p>
      <w:pPr>
        <w:ind w:firstLine="480"/>
        <w:spacing w:after="0" w:line="32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说明</w:t>
      </w:r>
      <w:r>
        <w:rPr>
          <w:rFonts w:hint="eastAsia" w:ascii="宋体" w:hAnsi="宋体"/>
          <w:bCs/>
          <w:color w:val="auto"/>
          <w:sz w:val="24"/>
          <w:highlight w:val="none"/>
        </w:rPr>
        <w:t xml:space="preserve">：以上评分标准中评分的每一条，各投标供应商均应提供相关的资料，且必须清晰完整。</w:t>
      </w:r>
      <w:r>
        <w:rPr>
          <w:rFonts w:hint="eastAsia" w:ascii="宋体" w:hAnsi="宋体" w:cs="宋体"/>
          <w:color w:val="auto"/>
          <w:sz w:val="24"/>
          <w:highlight w:val="none"/>
          <w:lang w:bidi="ar"/>
        </w:rPr>
        <w:t xml:space="preserve">供应商必须保证所提供资料的真实性和完整性，如发现存在骗取成交等虚假行为，将依据法律规定取消其中标资格。</w:t>
      </w:r>
      <w:r/>
    </w:p>
    <w:p>
      <w:pPr>
        <w:ind w:firstLine="482"/>
        <w:spacing w:after="0" w:line="480" w:lineRule="exact"/>
        <w:tabs>
          <w:tab w:val="left" w:pos="900" w:leader="none"/>
        </w:tabs>
        <w:rPr>
          <w:rFonts w:hint="eastAsia" w:ascii="宋体" w:hAnsi="宋体"/>
          <w:b/>
          <w:color w:val="auto"/>
          <w:sz w:val="24"/>
          <w:highlight w:val="none"/>
        </w:rPr>
      </w:pPr>
      <w:r>
        <w:rPr>
          <w:rFonts w:hint="eastAsia" w:ascii="宋体" w:hAnsi="宋体"/>
          <w:b/>
          <w:color w:val="auto"/>
          <w:sz w:val="24"/>
          <w:highlight w:val="none"/>
        </w:rPr>
        <w:t xml:space="preserve">三、本办法未尽事宜，经磋商小组集体通过后，形成书面材料，作为本磋商办法的补充条款，并按本磋商办法及补充条款进行磋商。</w:t>
      </w:r>
      <w:r/>
    </w:p>
    <w:p>
      <w:pPr>
        <w:rPr>
          <w:rFonts w:hint="eastAsia" w:ascii="宋体" w:hAnsi="宋体"/>
          <w:b/>
          <w:color w:val="auto"/>
          <w:sz w:val="24"/>
          <w:highlight w:val="none"/>
        </w:rPr>
      </w:pPr>
      <w:r>
        <w:rPr>
          <w:rFonts w:hint="eastAsia" w:ascii="宋体" w:hAnsi="宋体"/>
          <w:b/>
          <w:color w:val="auto"/>
          <w:sz w:val="24"/>
          <w:highlight w:val="none"/>
        </w:rPr>
        <w:br w:type="page" w:clear="all"/>
      </w:r>
      <w:r/>
    </w:p>
    <w:p>
      <w:pPr>
        <w:pStyle w:val="965"/>
        <w:numPr>
          <w:ilvl w:val="0"/>
          <w:numId w:val="1"/>
        </w:numPr>
        <w:spacing w:after="0" w:line="360" w:lineRule="auto"/>
        <w:rPr>
          <w:color w:val="auto"/>
          <w:sz w:val="32"/>
          <w:szCs w:val="32"/>
          <w:highlight w:val="none"/>
        </w:rPr>
      </w:pPr>
      <w:r>
        <w:rPr>
          <w:rFonts w:hint="eastAsia"/>
          <w:color w:val="auto"/>
          <w:sz w:val="32"/>
          <w:szCs w:val="32"/>
          <w:highlight w:val="none"/>
        </w:rPr>
        <w:t xml:space="preserve">响应文件的组成和格式</w:t>
      </w:r>
      <w:bookmarkEnd w:id="130"/>
      <w:r/>
      <w:r/>
    </w:p>
    <w:p>
      <w:pPr>
        <w:jc w:val="left"/>
        <w:spacing w:after="0" w:line="480" w:lineRule="exact"/>
        <w:rPr>
          <w:rFonts w:ascii="宋体" w:hAnsi="宋体" w:cs="宋体"/>
          <w:bCs/>
          <w:color w:val="auto"/>
          <w:sz w:val="24"/>
          <w:highlight w:val="none"/>
        </w:rPr>
      </w:pPr>
      <w:r>
        <w:rPr>
          <w:rFonts w:hint="eastAsia" w:ascii="宋体" w:hAnsi="宋体" w:cs="宋体"/>
          <w:bCs/>
          <w:color w:val="auto"/>
          <w:sz w:val="24"/>
          <w:highlight w:val="none"/>
        </w:rPr>
        <w:t xml:space="preserve">一、资格审查文件</w:t>
      </w:r>
      <w:r/>
    </w:p>
    <w:p>
      <w:pPr>
        <w:jc w:val="left"/>
        <w:spacing w:after="0" w:line="480" w:lineRule="exact"/>
        <w:rPr>
          <w:rFonts w:ascii="宋体" w:hAnsi="宋体" w:cs="宋体"/>
          <w:bCs/>
          <w:color w:val="auto"/>
          <w:sz w:val="24"/>
          <w:highlight w:val="none"/>
        </w:rPr>
      </w:pPr>
      <w:r>
        <w:rPr>
          <w:rFonts w:hint="eastAsia" w:ascii="宋体" w:hAnsi="宋体" w:cs="宋体"/>
          <w:bCs/>
          <w:color w:val="auto"/>
          <w:sz w:val="24"/>
          <w:highlight w:val="none"/>
        </w:rPr>
        <w:t xml:space="preserve">1.法定代表人资格证明书及法定代表人身份证原件扫描件；</w:t>
      </w:r>
      <w:r/>
    </w:p>
    <w:p>
      <w:pPr>
        <w:jc w:val="left"/>
        <w:spacing w:after="0" w:line="480" w:lineRule="exact"/>
        <w:rPr>
          <w:rFonts w:ascii="宋体" w:hAnsi="宋体" w:cs="宋体"/>
          <w:bCs/>
          <w:color w:val="auto"/>
          <w:sz w:val="24"/>
          <w:highlight w:val="none"/>
        </w:rPr>
      </w:pPr>
      <w:r>
        <w:rPr>
          <w:rFonts w:hint="eastAsia" w:ascii="宋体" w:hAnsi="宋体" w:cs="宋体"/>
          <w:bCs/>
          <w:color w:val="auto"/>
          <w:sz w:val="24"/>
          <w:highlight w:val="none"/>
        </w:rPr>
        <w:t xml:space="preserve">2.法定代表人授权委托书及授权委托人身份证原件扫描件（法定代表人亲自参加投标的除外）；</w:t>
      </w:r>
      <w:r/>
    </w:p>
    <w:p>
      <w:pPr>
        <w:jc w:val="left"/>
        <w:spacing w:after="0" w:line="480" w:lineRule="exact"/>
        <w:rPr>
          <w:rFonts w:ascii="宋体" w:hAnsi="宋体" w:cs="宋体"/>
          <w:bCs/>
          <w:color w:val="auto"/>
          <w:sz w:val="24"/>
          <w:highlight w:val="none"/>
        </w:rPr>
      </w:pPr>
      <w:r>
        <w:rPr>
          <w:rFonts w:hint="eastAsia" w:ascii="宋体" w:hAnsi="宋体" w:cs="宋体"/>
          <w:bCs/>
          <w:color w:val="auto"/>
          <w:sz w:val="24"/>
          <w:highlight w:val="none"/>
        </w:rPr>
        <w:t xml:space="preserve">3.投标供应商具有法人或者其他组织的营业执照</w:t>
      </w:r>
      <w:r>
        <w:rPr>
          <w:rFonts w:hint="eastAsia" w:ascii="宋体" w:hAnsi="宋体" w:cs="宋体"/>
          <w:color w:val="auto"/>
          <w:sz w:val="24"/>
          <w:highlight w:val="none"/>
        </w:rPr>
        <w:t xml:space="preserve">或相关部门的登记证明文件原件扫描件</w:t>
      </w:r>
      <w:r>
        <w:rPr>
          <w:rFonts w:hint="eastAsia" w:ascii="宋体" w:hAnsi="宋体" w:cs="宋体"/>
          <w:bCs/>
          <w:color w:val="auto"/>
          <w:sz w:val="24"/>
          <w:highlight w:val="none"/>
        </w:rPr>
        <w:t xml:space="preserve">；</w:t>
      </w:r>
      <w:r/>
    </w:p>
    <w:p>
      <w:pPr>
        <w:spacing w:after="0" w:line="480" w:lineRule="exact"/>
        <w:tabs>
          <w:tab w:val="left" w:pos="945" w:leader="none"/>
          <w:tab w:val="left" w:pos="1276" w:leader="none"/>
        </w:tabs>
        <w:rPr>
          <w:rFonts w:ascii="宋体" w:hAnsi="宋体" w:cs="宋体"/>
          <w:color w:val="auto"/>
          <w:sz w:val="24"/>
          <w:highlight w:val="none"/>
        </w:rPr>
      </w:pPr>
      <w:r>
        <w:rPr>
          <w:rFonts w:hint="eastAsia" w:ascii="宋体" w:hAnsi="宋体" w:cs="宋体"/>
          <w:bCs/>
          <w:color w:val="auto"/>
          <w:sz w:val="24"/>
          <w:highlight w:val="none"/>
        </w:rPr>
        <w:t xml:space="preserve">4.</w:t>
      </w:r>
      <w:r>
        <w:rPr>
          <w:rFonts w:hint="eastAsia" w:ascii="宋体" w:hAnsi="宋体" w:cs="宋体"/>
          <w:color w:val="auto"/>
          <w:sz w:val="24"/>
          <w:highlight w:val="none"/>
        </w:rPr>
        <w:t xml:space="preserve">采购人要求的特定资质证明（详见“采购公告”－“本项目特定资格要求”中要求）；</w:t>
      </w:r>
      <w:r/>
    </w:p>
    <w:p>
      <w:pPr>
        <w:jc w:val="left"/>
        <w:spacing w:after="0" w:line="480" w:lineRule="exact"/>
        <w:rPr>
          <w:rFonts w:ascii="宋体" w:hAnsi="宋体" w:cs="宋体"/>
          <w:bCs/>
          <w:color w:val="auto"/>
          <w:sz w:val="24"/>
          <w:highlight w:val="none"/>
        </w:rPr>
      </w:pPr>
      <w:r>
        <w:rPr>
          <w:rFonts w:hint="eastAsia" w:ascii="宋体" w:hAnsi="宋体" w:cs="宋体"/>
          <w:bCs/>
          <w:color w:val="auto"/>
          <w:sz w:val="24"/>
          <w:highlight w:val="none"/>
        </w:rPr>
        <w:t xml:space="preserve">5.供应商由会计师事务所出具的近两年中</w:t>
      </w:r>
      <w:r>
        <w:rPr>
          <w:rFonts w:hint="eastAsia" w:ascii="宋体" w:hAnsi="宋体" w:cs="宋体"/>
          <w:color w:val="auto"/>
          <w:sz w:val="24"/>
          <w:highlight w:val="none"/>
        </w:rPr>
        <w:t xml:space="preserve">（2024年度或2025年度）</w:t>
      </w:r>
      <w:r>
        <w:rPr>
          <w:rFonts w:hint="eastAsia" w:ascii="宋体" w:hAnsi="宋体" w:cs="宋体"/>
          <w:bCs/>
          <w:color w:val="auto"/>
          <w:sz w:val="24"/>
          <w:highlight w:val="none"/>
        </w:rPr>
        <w:t xml:space="preserve">任意一个年度的审计报告和所附已审财务报告扫描件； </w:t>
      </w:r>
      <w:r/>
    </w:p>
    <w:p>
      <w:pPr>
        <w:jc w:val="left"/>
        <w:spacing w:after="0" w:line="480" w:lineRule="exact"/>
        <w:rPr>
          <w:rFonts w:ascii="宋体" w:hAnsi="宋体" w:cs="宋体"/>
          <w:bCs/>
          <w:color w:val="auto"/>
          <w:sz w:val="24"/>
          <w:highlight w:val="none"/>
        </w:rPr>
      </w:pPr>
      <w:r>
        <w:rPr>
          <w:rFonts w:hint="eastAsia" w:ascii="宋体" w:hAnsi="宋体" w:cs="宋体"/>
          <w:bCs/>
          <w:color w:val="auto"/>
          <w:sz w:val="24"/>
          <w:highlight w:val="none"/>
        </w:rPr>
        <w:t xml:space="preserve">6.供应商近六个月中任意一个月（不含磋商当月）的依法缴纳税收的相关材料（提供相关主管部门证明或银行代扣证明）或供应商依法享受缓缴、免缴税收的提供证明材料扫描件；</w:t>
      </w:r>
      <w:r/>
    </w:p>
    <w:p>
      <w:pPr>
        <w:jc w:val="left"/>
        <w:spacing w:after="0" w:line="480" w:lineRule="exact"/>
        <w:rPr>
          <w:rFonts w:ascii="宋体" w:hAnsi="宋体" w:cs="宋体"/>
          <w:bCs/>
          <w:color w:val="auto"/>
          <w:sz w:val="24"/>
          <w:highlight w:val="none"/>
        </w:rPr>
      </w:pPr>
      <w:r>
        <w:rPr>
          <w:rFonts w:hint="eastAsia" w:ascii="宋体" w:hAnsi="宋体" w:cs="宋体"/>
          <w:bCs/>
          <w:color w:val="auto"/>
          <w:sz w:val="24"/>
          <w:highlight w:val="none"/>
        </w:rPr>
        <w:t xml:space="preserve">7.供应商近六个月中任意一个月（不含磋商当月）的依法缴纳社会保障资金的相关材料（提供相关主管部门证明或银行代扣证明）或供应商依法享受缓缴、免缴社会保障资金的提供证明材料扫描件；</w:t>
      </w:r>
      <w:r/>
    </w:p>
    <w:p>
      <w:pPr>
        <w:jc w:val="left"/>
        <w:spacing w:after="0" w:line="480" w:lineRule="exact"/>
        <w:rPr>
          <w:rFonts w:ascii="宋体" w:hAnsi="宋体" w:cs="宋体"/>
          <w:color w:val="auto"/>
          <w:sz w:val="24"/>
          <w:highlight w:val="none"/>
        </w:rPr>
      </w:pPr>
      <w:r>
        <w:rPr>
          <w:rFonts w:hint="eastAsia" w:ascii="宋体" w:hAnsi="宋体" w:cs="宋体"/>
          <w:bCs/>
          <w:color w:val="auto"/>
          <w:sz w:val="24"/>
          <w:highlight w:val="none"/>
        </w:rPr>
        <w:t xml:space="preserve">8.</w:t>
      </w:r>
      <w:r>
        <w:rPr>
          <w:rFonts w:hint="eastAsia" w:ascii="宋体" w:hAnsi="宋体" w:cs="宋体"/>
          <w:color w:val="auto"/>
          <w:sz w:val="24"/>
          <w:highlight w:val="none"/>
        </w:rPr>
        <w:t xml:space="preserve">参加政府采购活动前3年内在经营活动中没有重大违法记录的书面声明原件；</w:t>
      </w:r>
      <w:r/>
    </w:p>
    <w:p>
      <w:pPr>
        <w:jc w:val="left"/>
        <w:spacing w:after="0" w:line="480" w:lineRule="exact"/>
        <w:rPr>
          <w:rFonts w:ascii="宋体" w:hAnsi="宋体" w:cs="宋体"/>
          <w:bCs/>
          <w:color w:val="auto"/>
          <w:sz w:val="24"/>
          <w:highlight w:val="none"/>
        </w:rPr>
      </w:pPr>
      <w:r>
        <w:rPr>
          <w:rFonts w:hint="eastAsia" w:ascii="宋体" w:hAnsi="宋体" w:cs="宋体"/>
          <w:bCs/>
          <w:color w:val="auto"/>
          <w:sz w:val="24"/>
          <w:highlight w:val="none"/>
        </w:rPr>
        <w:t xml:space="preserve">9.供应商具备履行合同所必需的设备和专业技术能力的书面声明原件；</w:t>
      </w:r>
      <w:r/>
    </w:p>
    <w:p>
      <w:pPr>
        <w:jc w:val="left"/>
        <w:spacing w:after="0" w:line="480" w:lineRule="exact"/>
        <w:rPr>
          <w:rFonts w:ascii="宋体" w:hAnsi="宋体" w:cs="宋体"/>
          <w:bCs/>
          <w:color w:val="auto"/>
          <w:sz w:val="24"/>
          <w:highlight w:val="none"/>
        </w:rPr>
      </w:pPr>
      <w:r>
        <w:rPr>
          <w:rFonts w:hint="eastAsia" w:ascii="宋体" w:hAnsi="宋体" w:cs="宋体"/>
          <w:bCs/>
          <w:color w:val="auto"/>
          <w:sz w:val="24"/>
          <w:highlight w:val="none"/>
        </w:rPr>
        <w:t xml:space="preserve">10.《中小企业声明函》或《残疾人福利性单位声明函》或“监狱和戒毒企业证明材料”。</w:t>
      </w:r>
      <w:r/>
    </w:p>
    <w:p>
      <w:pPr>
        <w:jc w:val="left"/>
        <w:spacing w:after="0" w:line="480" w:lineRule="exact"/>
        <w:rPr>
          <w:rFonts w:ascii="宋体" w:hAnsi="宋体" w:cs="宋体"/>
          <w:bCs/>
          <w:color w:val="auto"/>
          <w:sz w:val="24"/>
          <w:highlight w:val="none"/>
        </w:rPr>
      </w:pPr>
      <w:r>
        <w:rPr>
          <w:rFonts w:hint="eastAsia" w:ascii="宋体" w:hAnsi="宋体" w:cs="宋体"/>
          <w:bCs/>
          <w:color w:val="auto"/>
          <w:sz w:val="24"/>
          <w:highlight w:val="none"/>
        </w:rPr>
        <w:t xml:space="preserve">注：上述1—10条中任何一条不符合要求，则资格性审查不通过，按无效响应文件处理。</w:t>
      </w:r>
      <w:r/>
    </w:p>
    <w:p>
      <w:pPr>
        <w:jc w:val="left"/>
        <w:spacing w:after="0" w:line="480" w:lineRule="exact"/>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w:t>
      </w:r>
      <w:r>
        <w:rPr>
          <w:rFonts w:hint="eastAsia" w:ascii="宋体" w:hAnsi="宋体" w:cs="宋体"/>
          <w:bCs/>
          <w:color w:val="auto"/>
          <w:sz w:val="24"/>
          <w:highlight w:val="none"/>
        </w:rPr>
        <w:t xml:space="preserve">磋商</w:t>
      </w:r>
      <w:r>
        <w:rPr>
          <w:rFonts w:hint="eastAsia" w:ascii="宋体" w:hAnsi="宋体" w:cs="宋体"/>
          <w:bCs/>
          <w:color w:val="auto"/>
          <w:sz w:val="24"/>
          <w:highlight w:val="none"/>
          <w:lang w:val="zh-CN"/>
        </w:rPr>
        <w:t xml:space="preserve">文件要求提供的资格审查证明材料中如没有对应的接口上传资料的，可以在其他材料的接口中上传。）</w:t>
      </w:r>
      <w:r/>
    </w:p>
    <w:p>
      <w:pPr>
        <w:jc w:val="left"/>
        <w:spacing w:after="0" w:line="480" w:lineRule="exact"/>
        <w:rPr>
          <w:rFonts w:ascii="宋体" w:hAnsi="宋体" w:cs="宋体"/>
          <w:bCs/>
          <w:color w:val="auto"/>
          <w:sz w:val="24"/>
          <w:highlight w:val="none"/>
        </w:rPr>
      </w:pPr>
      <w:r>
        <w:rPr>
          <w:rFonts w:hint="eastAsia" w:ascii="宋体" w:hAnsi="宋体" w:cs="宋体"/>
          <w:bCs/>
          <w:color w:val="auto"/>
          <w:sz w:val="24"/>
          <w:highlight w:val="none"/>
        </w:rPr>
        <w:t xml:space="preserve">二、商务技术文件</w:t>
      </w:r>
      <w:r/>
    </w:p>
    <w:p>
      <w:pPr>
        <w:jc w:val="left"/>
        <w:spacing w:after="0" w:line="480" w:lineRule="exact"/>
        <w:rPr>
          <w:rFonts w:ascii="宋体" w:hAnsi="宋体" w:cs="宋体"/>
          <w:bCs/>
          <w:color w:val="auto"/>
          <w:sz w:val="24"/>
          <w:highlight w:val="none"/>
        </w:rPr>
      </w:pPr>
      <w:r>
        <w:rPr>
          <w:rFonts w:hint="eastAsia" w:ascii="宋体" w:hAnsi="宋体" w:cs="宋体"/>
          <w:bCs/>
          <w:color w:val="auto"/>
          <w:sz w:val="24"/>
          <w:highlight w:val="none"/>
        </w:rPr>
        <w:t xml:space="preserve">1.磋商响应函（格式见附件）；</w:t>
      </w:r>
      <w:r/>
    </w:p>
    <w:p>
      <w:pPr>
        <w:jc w:val="left"/>
        <w:spacing w:after="0" w:line="480" w:lineRule="exact"/>
        <w:rPr>
          <w:rFonts w:ascii="宋体" w:hAnsi="宋体" w:cs="宋体"/>
          <w:bCs/>
          <w:color w:val="auto"/>
          <w:sz w:val="24"/>
          <w:highlight w:val="none"/>
        </w:rPr>
      </w:pPr>
      <w:r>
        <w:rPr>
          <w:rFonts w:hint="eastAsia" w:ascii="宋体" w:hAnsi="宋体" w:cs="宋体"/>
          <w:bCs/>
          <w:color w:val="auto"/>
          <w:sz w:val="24"/>
          <w:highlight w:val="none"/>
        </w:rPr>
        <w:t xml:space="preserve">2.首次磋商报价表、报价明细表（格式见附件）；</w:t>
      </w:r>
      <w:r/>
    </w:p>
    <w:p>
      <w:pPr>
        <w:jc w:val="left"/>
        <w:spacing w:after="0" w:line="480" w:lineRule="exact"/>
        <w:rPr>
          <w:rFonts w:ascii="宋体" w:hAnsi="宋体" w:cs="宋体"/>
          <w:bCs/>
          <w:color w:val="auto"/>
          <w:sz w:val="24"/>
          <w:highlight w:val="none"/>
        </w:rPr>
      </w:pPr>
      <w:r>
        <w:rPr>
          <w:rFonts w:hint="eastAsia" w:ascii="宋体" w:hAnsi="宋体" w:cs="宋体"/>
          <w:bCs/>
          <w:color w:val="auto"/>
          <w:sz w:val="24"/>
          <w:highlight w:val="none"/>
        </w:rPr>
        <w:t xml:space="preserve">3.采购需求响应及偏离表、商务条款响应及偏离表（格式见附件）；</w:t>
      </w:r>
      <w:r/>
    </w:p>
    <w:p>
      <w:pPr>
        <w:jc w:val="left"/>
        <w:spacing w:after="0" w:line="480" w:lineRule="exact"/>
        <w:rPr>
          <w:rFonts w:ascii="宋体" w:hAnsi="宋体" w:cs="宋体"/>
          <w:bCs/>
          <w:color w:val="auto"/>
          <w:sz w:val="24"/>
          <w:highlight w:val="none"/>
        </w:rPr>
      </w:pPr>
      <w:r>
        <w:rPr>
          <w:rFonts w:hint="eastAsia" w:ascii="宋体" w:hAnsi="宋体" w:cs="宋体"/>
          <w:bCs/>
          <w:color w:val="auto"/>
          <w:sz w:val="24"/>
          <w:highlight w:val="none"/>
        </w:rPr>
        <w:t xml:space="preserve">4.拟派本项目人员一览表（附人员相关证明材料）；</w:t>
      </w:r>
      <w:r/>
    </w:p>
    <w:p>
      <w:pPr>
        <w:jc w:val="left"/>
        <w:spacing w:after="0" w:line="480" w:lineRule="exact"/>
        <w:rPr>
          <w:rFonts w:ascii="宋体" w:hAnsi="宋体" w:cs="宋体"/>
          <w:bCs/>
          <w:color w:val="auto"/>
          <w:sz w:val="24"/>
          <w:highlight w:val="none"/>
        </w:rPr>
      </w:pPr>
      <w:r>
        <w:rPr>
          <w:rFonts w:hint="eastAsia" w:ascii="宋体" w:hAnsi="宋体" w:cs="宋体"/>
          <w:bCs/>
          <w:color w:val="auto"/>
          <w:sz w:val="24"/>
          <w:highlight w:val="none"/>
        </w:rPr>
        <w:t xml:space="preserve">5.供应商近年类似业绩情况表及相关证明材料；</w:t>
      </w:r>
      <w:r/>
    </w:p>
    <w:p>
      <w:pPr>
        <w:jc w:val="left"/>
        <w:spacing w:after="0" w:line="480" w:lineRule="exact"/>
        <w:rPr>
          <w:rFonts w:ascii="宋体" w:hAnsi="宋体" w:cs="宋体"/>
          <w:bCs/>
          <w:color w:val="auto"/>
          <w:sz w:val="24"/>
          <w:highlight w:val="none"/>
        </w:rPr>
      </w:pPr>
      <w:r>
        <w:rPr>
          <w:rFonts w:hint="eastAsia" w:ascii="宋体" w:hAnsi="宋体" w:cs="宋体"/>
          <w:bCs/>
          <w:color w:val="auto"/>
          <w:sz w:val="24"/>
          <w:highlight w:val="none"/>
        </w:rPr>
        <w:t xml:space="preserve">6.承诺书；</w:t>
      </w:r>
      <w:r/>
    </w:p>
    <w:p>
      <w:pPr>
        <w:jc w:val="left"/>
        <w:spacing w:after="0" w:line="480" w:lineRule="exact"/>
        <w:rPr>
          <w:rFonts w:ascii="宋体" w:hAnsi="宋体" w:cs="宋体"/>
          <w:bCs/>
          <w:color w:val="auto"/>
          <w:sz w:val="24"/>
          <w:highlight w:val="none"/>
        </w:rPr>
      </w:pPr>
      <w:r>
        <w:rPr>
          <w:rFonts w:hint="eastAsia" w:ascii="宋体" w:hAnsi="宋体" w:cs="宋体"/>
          <w:bCs/>
          <w:color w:val="auto"/>
          <w:sz w:val="24"/>
          <w:highlight w:val="none"/>
        </w:rPr>
        <w:t xml:space="preserve">7.项目方案；</w:t>
      </w:r>
      <w:r/>
    </w:p>
    <w:p>
      <w:pPr>
        <w:spacing w:after="0" w:line="480" w:lineRule="exact"/>
        <w:tabs>
          <w:tab w:val="left" w:pos="900" w:leader="none"/>
        </w:tabs>
        <w:rPr>
          <w:rFonts w:ascii="宋体" w:hAnsi="宋体" w:cs="宋体"/>
          <w:bCs/>
          <w:color w:val="auto"/>
          <w:sz w:val="24"/>
          <w:highlight w:val="none"/>
        </w:rPr>
      </w:pPr>
      <w:r>
        <w:rPr>
          <w:rFonts w:hint="eastAsia" w:ascii="宋体" w:hAnsi="宋体" w:cs="宋体"/>
          <w:bCs/>
          <w:color w:val="auto"/>
          <w:sz w:val="24"/>
          <w:highlight w:val="none"/>
        </w:rPr>
        <w:t xml:space="preserve">8.</w:t>
      </w:r>
      <w:r>
        <w:rPr>
          <w:rFonts w:hint="eastAsia" w:ascii="宋体" w:hAnsi="宋体" w:cs="宋体"/>
          <w:color w:val="auto"/>
          <w:sz w:val="24"/>
          <w:highlight w:val="none"/>
        </w:rPr>
        <w:t xml:space="preserve">根据采购需求和评审方法以及评审标准，供应商为使自身处于有利评审地位，应当提交的其他文件和证明资料；</w:t>
      </w:r>
      <w:r/>
    </w:p>
    <w:p>
      <w:pPr>
        <w:jc w:val="left"/>
        <w:spacing w:after="0" w:line="480" w:lineRule="exact"/>
        <w:rPr>
          <w:rFonts w:ascii="宋体" w:hAnsi="宋体" w:cs="宋体"/>
          <w:bCs/>
          <w:color w:val="auto"/>
          <w:sz w:val="24"/>
          <w:highlight w:val="none"/>
        </w:rPr>
      </w:pPr>
      <w:r>
        <w:rPr>
          <w:rFonts w:hint="eastAsia" w:ascii="宋体" w:hAnsi="宋体" w:cs="宋体"/>
          <w:bCs/>
          <w:color w:val="auto"/>
          <w:sz w:val="24"/>
          <w:highlight w:val="none"/>
        </w:rPr>
        <w:t xml:space="preserve">9.供应商认为需要提交的其他资料。</w:t>
      </w:r>
      <w:r/>
    </w:p>
    <w:p>
      <w:pPr>
        <w:jc w:val="left"/>
        <w:spacing w:after="0" w:line="480" w:lineRule="exact"/>
        <w:rPr>
          <w:rFonts w:ascii="宋体" w:hAnsi="宋体" w:cs="宋体"/>
          <w:bCs/>
          <w:color w:val="auto"/>
          <w:sz w:val="24"/>
          <w:highlight w:val="none"/>
        </w:rPr>
        <w:sectPr>
          <w:footerReference w:type="default" r:id="rId13"/>
          <w:footnotePr/>
          <w:endnotePr/>
          <w:type w:val="nextPage"/>
          <w:pgSz w:w="11907" w:h="16840" w:orient="portrait"/>
          <w:pgMar w:top="1134" w:right="1134" w:bottom="1134" w:left="1560" w:header="851" w:footer="851" w:gutter="0"/>
          <w:pgNumType w:start="1"/>
          <w:cols w:num="1" w:sep="0" w:space="720" w:equalWidth="1"/>
          <w:docGrid w:linePitch="360"/>
        </w:sectPr>
      </w:pPr>
      <w:r>
        <w:rPr>
          <w:rFonts w:ascii="宋体" w:hAnsi="宋体" w:cs="宋体"/>
          <w:bCs/>
          <w:color w:val="auto"/>
          <w:sz w:val="24"/>
          <w:highlight w:val="none"/>
        </w:rPr>
      </w:r>
      <w:r/>
    </w:p>
    <w:p>
      <w:pPr>
        <w:rPr>
          <w:color w:val="auto"/>
          <w:highlight w:val="none"/>
        </w:rPr>
      </w:pPr>
      <w:r/>
      <w:bookmarkStart w:id="134" w:name="_Toc31132"/>
      <w:r/>
      <w:bookmarkStart w:id="135" w:name="_Toc2523"/>
      <w:r/>
      <w:r/>
    </w:p>
    <w:p>
      <w:pPr>
        <w:rPr>
          <w:color w:val="auto"/>
          <w:highlight w:val="none"/>
        </w:rPr>
      </w:pPr>
      <w:r>
        <w:rPr>
          <w:color w:val="auto"/>
          <w:highlight w:val="none"/>
        </w:rPr>
      </w:r>
      <w:r/>
    </w:p>
    <w:p>
      <w:pPr>
        <w:jc w:val="center"/>
        <w:rPr>
          <w:b/>
          <w:bCs/>
          <w:color w:val="auto"/>
          <w:sz w:val="44"/>
          <w:szCs w:val="44"/>
          <w:highlight w:val="none"/>
        </w:rPr>
      </w:pPr>
      <w:r>
        <w:rPr>
          <w:b/>
          <w:bCs/>
          <w:color w:val="auto"/>
          <w:sz w:val="44"/>
          <w:szCs w:val="44"/>
          <w:highlight w:val="none"/>
        </w:rPr>
        <w:t xml:space="preserve">竞争性磋商响应文件</w:t>
      </w:r>
      <w:bookmarkEnd w:id="134"/>
      <w:r/>
      <w:bookmarkEnd w:id="135"/>
      <w:r/>
      <w:r/>
    </w:p>
    <w:p>
      <w:pPr>
        <w:pStyle w:val="1160"/>
        <w:ind w:firstLine="0"/>
        <w:jc w:val="center"/>
        <w:spacing w:before="0" w:after="0"/>
        <w:rPr>
          <w:rFonts w:ascii="Times New Roman" w:hAnsi="Times New Roman"/>
          <w:b/>
          <w:bCs/>
          <w:color w:val="auto"/>
          <w:sz w:val="21"/>
          <w:szCs w:val="21"/>
          <w:highlight w:val="none"/>
        </w:rPr>
      </w:pPr>
      <w:r>
        <w:rPr>
          <w:rFonts w:ascii="Times New Roman" w:hAnsi="Times New Roman"/>
          <w:b/>
          <w:bCs/>
          <w:color w:val="auto"/>
          <w:sz w:val="21"/>
          <w:szCs w:val="21"/>
          <w:highlight w:val="none"/>
        </w:rPr>
      </w:r>
      <w:r/>
    </w:p>
    <w:p>
      <w:pPr>
        <w:ind w:firstLine="632"/>
        <w:spacing w:line="360" w:lineRule="auto"/>
        <w:rPr>
          <w:b/>
          <w:color w:val="auto"/>
          <w:szCs w:val="21"/>
          <w:highlight w:val="none"/>
        </w:rPr>
      </w:pPr>
      <w:r>
        <w:rPr>
          <w:b/>
          <w:color w:val="auto"/>
          <w:szCs w:val="21"/>
          <w:highlight w:val="none"/>
        </w:rPr>
      </w:r>
      <w:r/>
    </w:p>
    <w:p>
      <w:pPr>
        <w:ind w:firstLine="632"/>
        <w:spacing w:line="360" w:lineRule="auto"/>
        <w:rPr>
          <w:b/>
          <w:color w:val="auto"/>
          <w:szCs w:val="21"/>
          <w:highlight w:val="none"/>
        </w:rPr>
      </w:pPr>
      <w:r>
        <w:rPr>
          <w:b/>
          <w:color w:val="auto"/>
          <w:szCs w:val="21"/>
          <w:highlight w:val="none"/>
        </w:rPr>
      </w:r>
      <w:r/>
    </w:p>
    <w:p>
      <w:pPr>
        <w:ind w:firstLine="632"/>
        <w:spacing w:line="360" w:lineRule="auto"/>
        <w:rPr>
          <w:b/>
          <w:color w:val="auto"/>
          <w:szCs w:val="21"/>
          <w:highlight w:val="none"/>
        </w:rPr>
      </w:pPr>
      <w:r>
        <w:rPr>
          <w:b/>
          <w:color w:val="auto"/>
          <w:szCs w:val="21"/>
          <w:highlight w:val="none"/>
        </w:rPr>
      </w:r>
      <w:r/>
    </w:p>
    <w:p>
      <w:pPr>
        <w:ind w:firstLine="632"/>
        <w:spacing w:line="360" w:lineRule="auto"/>
        <w:rPr>
          <w:b/>
          <w:color w:val="auto"/>
          <w:szCs w:val="21"/>
          <w:highlight w:val="none"/>
        </w:rPr>
      </w:pPr>
      <w:r>
        <w:rPr>
          <w:b/>
          <w:color w:val="auto"/>
          <w:szCs w:val="21"/>
          <w:highlight w:val="none"/>
        </w:rPr>
      </w:r>
      <w:r/>
    </w:p>
    <w:p>
      <w:pPr>
        <w:ind w:firstLine="632"/>
        <w:spacing w:line="360" w:lineRule="auto"/>
        <w:rPr>
          <w:b/>
          <w:color w:val="auto"/>
          <w:szCs w:val="21"/>
          <w:highlight w:val="none"/>
        </w:rPr>
      </w:pPr>
      <w:r>
        <w:rPr>
          <w:b/>
          <w:color w:val="auto"/>
          <w:szCs w:val="21"/>
          <w:highlight w:val="none"/>
        </w:rPr>
      </w:r>
      <w:r/>
    </w:p>
    <w:p>
      <w:pPr>
        <w:ind w:firstLine="632"/>
        <w:spacing w:line="360" w:lineRule="auto"/>
        <w:rPr>
          <w:b/>
          <w:color w:val="auto"/>
          <w:szCs w:val="21"/>
          <w:highlight w:val="none"/>
        </w:rPr>
      </w:pPr>
      <w:r>
        <w:rPr>
          <w:b/>
          <w:color w:val="auto"/>
          <w:szCs w:val="21"/>
          <w:highlight w:val="none"/>
        </w:rPr>
      </w:r>
      <w:r/>
    </w:p>
    <w:p>
      <w:pPr>
        <w:ind w:firstLine="632"/>
        <w:spacing w:line="360" w:lineRule="auto"/>
        <w:rPr>
          <w:b/>
          <w:color w:val="auto"/>
          <w:szCs w:val="21"/>
          <w:highlight w:val="none"/>
        </w:rPr>
      </w:pPr>
      <w:r>
        <w:rPr>
          <w:b/>
          <w:color w:val="auto"/>
          <w:szCs w:val="21"/>
          <w:highlight w:val="none"/>
        </w:rPr>
      </w:r>
      <w:r/>
    </w:p>
    <w:p>
      <w:pPr>
        <w:ind w:firstLine="632"/>
        <w:spacing w:line="360" w:lineRule="auto"/>
        <w:rPr>
          <w:b/>
          <w:color w:val="auto"/>
          <w:szCs w:val="21"/>
          <w:highlight w:val="none"/>
        </w:rPr>
      </w:pPr>
      <w:r>
        <w:rPr>
          <w:b/>
          <w:color w:val="auto"/>
          <w:szCs w:val="21"/>
          <w:highlight w:val="none"/>
        </w:rPr>
      </w:r>
      <w:r/>
    </w:p>
    <w:p>
      <w:pPr>
        <w:ind w:firstLine="843"/>
        <w:spacing w:line="360" w:lineRule="auto"/>
        <w:rPr>
          <w:b/>
          <w:color w:val="auto"/>
          <w:sz w:val="28"/>
          <w:szCs w:val="28"/>
          <w:highlight w:val="none"/>
        </w:rPr>
      </w:pPr>
      <w:r>
        <w:rPr>
          <w:b/>
          <w:color w:val="auto"/>
          <w:sz w:val="28"/>
          <w:szCs w:val="28"/>
          <w:highlight w:val="none"/>
        </w:rPr>
        <w:t xml:space="preserve">项 目 名 称：</w:t>
      </w:r>
      <w:r/>
    </w:p>
    <w:p>
      <w:pPr>
        <w:ind w:firstLine="843"/>
        <w:spacing w:line="360" w:lineRule="auto"/>
        <w:rPr>
          <w:b/>
          <w:color w:val="auto"/>
          <w:sz w:val="28"/>
          <w:szCs w:val="28"/>
          <w:highlight w:val="none"/>
          <w:u w:val="single"/>
        </w:rPr>
      </w:pPr>
      <w:r>
        <w:rPr>
          <w:b/>
          <w:color w:val="auto"/>
          <w:sz w:val="28"/>
          <w:szCs w:val="28"/>
          <w:highlight w:val="none"/>
        </w:rPr>
        <w:t xml:space="preserve">项 目 编 号：</w:t>
      </w:r>
      <w:r/>
    </w:p>
    <w:p>
      <w:pPr>
        <w:ind w:firstLine="843"/>
        <w:spacing w:line="360" w:lineRule="auto"/>
        <w:rPr>
          <w:b/>
          <w:color w:val="auto"/>
          <w:sz w:val="28"/>
          <w:szCs w:val="28"/>
          <w:highlight w:val="none"/>
        </w:rPr>
      </w:pPr>
      <w:r>
        <w:rPr>
          <w:b/>
          <w:color w:val="auto"/>
          <w:sz w:val="28"/>
          <w:szCs w:val="28"/>
          <w:highlight w:val="none"/>
        </w:rPr>
        <w:t xml:space="preserve">磋商供应商名称：（加盖CA电子公章）              </w:t>
      </w:r>
      <w:r/>
    </w:p>
    <w:p>
      <w:pPr>
        <w:spacing w:line="360" w:lineRule="auto"/>
        <w:rPr>
          <w:b/>
          <w:color w:val="auto"/>
          <w:sz w:val="28"/>
          <w:szCs w:val="28"/>
          <w:highlight w:val="none"/>
        </w:rPr>
      </w:pPr>
      <w:r>
        <w:rPr>
          <w:b/>
          <w:color w:val="auto"/>
          <w:sz w:val="28"/>
          <w:szCs w:val="28"/>
          <w:highlight w:val="none"/>
        </w:rPr>
        <w:t xml:space="preserve">      日       期：</w:t>
      </w:r>
      <w:bookmarkEnd w:id="116"/>
      <w:bookmarkEnd w:id="117"/>
      <w:bookmarkEnd w:id="118"/>
      <w:r/>
    </w:p>
    <w:p>
      <w:pPr>
        <w:pStyle w:val="981"/>
        <w:ind w:firstLine="0"/>
        <w:spacing w:line="360" w:lineRule="auto"/>
        <w:rPr>
          <w:b/>
          <w:color w:val="auto"/>
          <w:szCs w:val="21"/>
          <w:highlight w:val="none"/>
        </w:rPr>
      </w:pPr>
      <w:r/>
      <w:bookmarkStart w:id="136" w:name="_Toc456102122"/>
      <w:r/>
      <w:bookmarkStart w:id="137" w:name="_Toc337816640"/>
      <w:r/>
      <w:bookmarkStart w:id="138" w:name="_Toc456102499"/>
      <w:r/>
      <w:bookmarkStart w:id="139" w:name="_Toc456102676"/>
      <w:r/>
      <w:r/>
    </w:p>
    <w:p>
      <w:pPr>
        <w:pStyle w:val="981"/>
        <w:ind w:firstLine="0"/>
        <w:spacing w:line="360" w:lineRule="auto"/>
        <w:rPr>
          <w:b/>
          <w:color w:val="auto"/>
          <w:szCs w:val="21"/>
          <w:highlight w:val="none"/>
        </w:rPr>
      </w:pPr>
      <w:r>
        <w:rPr>
          <w:b/>
          <w:color w:val="auto"/>
          <w:szCs w:val="21"/>
          <w:highlight w:val="none"/>
        </w:rPr>
      </w:r>
      <w:r/>
    </w:p>
    <w:p>
      <w:pPr>
        <w:pStyle w:val="981"/>
        <w:ind w:firstLine="0"/>
        <w:spacing w:line="360" w:lineRule="auto"/>
        <w:rPr>
          <w:b/>
          <w:color w:val="auto"/>
          <w:szCs w:val="21"/>
          <w:highlight w:val="none"/>
        </w:rPr>
      </w:pPr>
      <w:r>
        <w:rPr>
          <w:b/>
          <w:color w:val="auto"/>
          <w:szCs w:val="21"/>
          <w:highlight w:val="none"/>
        </w:rPr>
      </w:r>
      <w:r/>
    </w:p>
    <w:p>
      <w:pPr>
        <w:pStyle w:val="981"/>
        <w:ind w:firstLine="0"/>
        <w:spacing w:line="360" w:lineRule="auto"/>
        <w:rPr>
          <w:b/>
          <w:color w:val="auto"/>
          <w:szCs w:val="21"/>
          <w:highlight w:val="none"/>
        </w:rPr>
      </w:pPr>
      <w:r>
        <w:rPr>
          <w:b/>
          <w:color w:val="auto"/>
          <w:szCs w:val="21"/>
          <w:highlight w:val="none"/>
        </w:rPr>
      </w:r>
      <w:r/>
    </w:p>
    <w:p>
      <w:pPr>
        <w:pStyle w:val="981"/>
        <w:ind w:firstLine="0"/>
        <w:spacing w:line="360" w:lineRule="auto"/>
        <w:rPr>
          <w:b/>
          <w:color w:val="auto"/>
          <w:szCs w:val="21"/>
          <w:highlight w:val="none"/>
        </w:rPr>
      </w:pPr>
      <w:r>
        <w:rPr>
          <w:b/>
          <w:color w:val="auto"/>
          <w:szCs w:val="21"/>
          <w:highlight w:val="none"/>
        </w:rPr>
      </w:r>
      <w:r/>
    </w:p>
    <w:p>
      <w:pPr>
        <w:pStyle w:val="981"/>
        <w:ind w:firstLine="0"/>
        <w:spacing w:line="360" w:lineRule="auto"/>
        <w:rPr>
          <w:b/>
          <w:color w:val="auto"/>
          <w:szCs w:val="21"/>
          <w:highlight w:val="none"/>
        </w:rPr>
      </w:pPr>
      <w:r>
        <w:rPr>
          <w:b/>
          <w:color w:val="auto"/>
          <w:szCs w:val="21"/>
          <w:highlight w:val="none"/>
        </w:rPr>
      </w:r>
      <w:bookmarkEnd w:id="136"/>
      <w:bookmarkEnd w:id="137"/>
      <w:bookmarkEnd w:id="138"/>
      <w:bookmarkEnd w:id="139"/>
      <w:r/>
    </w:p>
    <w:p>
      <w:pPr>
        <w:pStyle w:val="981"/>
        <w:ind w:firstLine="0"/>
        <w:spacing w:line="360" w:lineRule="auto"/>
        <w:rPr>
          <w:b/>
          <w:color w:val="auto"/>
          <w:szCs w:val="21"/>
          <w:highlight w:val="none"/>
        </w:rPr>
      </w:pPr>
      <w:r>
        <w:rPr>
          <w:b/>
          <w:color w:val="auto"/>
          <w:szCs w:val="21"/>
          <w:highlight w:val="none"/>
        </w:rPr>
      </w:r>
      <w:r/>
    </w:p>
    <w:p>
      <w:pPr>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rPr>
          <w:rFonts w:ascii="宋体" w:hAnsi="宋体" w:cs="宋体"/>
          <w:b/>
          <w:bCs/>
          <w:color w:val="auto"/>
          <w:sz w:val="28"/>
          <w:szCs w:val="28"/>
          <w:highlight w:val="none"/>
        </w:rPr>
      </w:pPr>
      <w:r>
        <w:rPr>
          <w:rFonts w:hint="eastAsia" w:ascii="宋体" w:hAnsi="宋体" w:cs="宋体"/>
          <w:b/>
          <w:bCs/>
          <w:color w:val="auto"/>
          <w:szCs w:val="21"/>
          <w:highlight w:val="none"/>
        </w:rPr>
        <w:t xml:space="preserve">附件1： </w:t>
      </w:r>
      <w:r>
        <w:rPr>
          <w:rFonts w:hint="eastAsia" w:ascii="宋体" w:hAnsi="宋体" w:cs="宋体"/>
          <w:b/>
          <w:bCs/>
          <w:color w:val="auto"/>
          <w:sz w:val="28"/>
          <w:szCs w:val="28"/>
          <w:highlight w:val="none"/>
        </w:rPr>
        <w:t xml:space="preserve">                           </w:t>
      </w:r>
      <w:r/>
    </w:p>
    <w:p>
      <w:pPr>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磋商响应函（格式）</w:t>
      </w:r>
      <w:r/>
    </w:p>
    <w:p>
      <w:pPr>
        <w:spacing w:after="0" w:line="360" w:lineRule="auto"/>
        <w:rPr>
          <w:color w:val="auto"/>
          <w:sz w:val="24"/>
          <w:highlight w:val="none"/>
        </w:rPr>
      </w:pPr>
      <w:r>
        <w:rPr>
          <w:rFonts w:hint="eastAsia"/>
          <w:b/>
          <w:bCs/>
          <w:color w:val="auto"/>
          <w:sz w:val="24"/>
          <w:highlight w:val="none"/>
        </w:rPr>
        <w:t xml:space="preserve">致：</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color w:val="auto"/>
          <w:sz w:val="24"/>
          <w:highlight w:val="none"/>
        </w:rPr>
        <w:t xml:space="preserve">         </w:t>
      </w:r>
      <w:r/>
    </w:p>
    <w:p>
      <w:pPr>
        <w:ind w:firstLine="420"/>
        <w:jc w:val="left"/>
        <w:spacing w:after="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根据贵方为</w:t>
      </w:r>
      <w:r>
        <w:rPr>
          <w:rFonts w:hint="eastAsia" w:ascii="宋体" w:hAnsi="宋体" w:cs="宋体"/>
          <w:color w:val="auto"/>
          <w:sz w:val="24"/>
          <w:highlight w:val="none"/>
          <w:u w:val="single"/>
        </w:rPr>
        <w:t xml:space="preserve"> （项目名称） </w:t>
      </w:r>
      <w:r>
        <w:rPr>
          <w:rFonts w:hint="eastAsia" w:ascii="宋体" w:hAnsi="宋体" w:cs="宋体"/>
          <w:color w:val="auto"/>
          <w:sz w:val="24"/>
          <w:highlight w:val="none"/>
        </w:rPr>
        <w:t xml:space="preserve">项目编号为：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号磋商文件，正式授权下述签字人__________（姓名和职务）代表我方___________（供应商的名称），全权处理本次项目磋商的有关事宜。</w:t>
      </w:r>
      <w:r/>
    </w:p>
    <w:p>
      <w:pPr>
        <w:ind w:firstLine="420"/>
        <w:jc w:val="left"/>
        <w:spacing w:after="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据此函，签字代表宣布同意如下：</w:t>
      </w:r>
      <w:r/>
    </w:p>
    <w:p>
      <w:pPr>
        <w:ind w:firstLine="42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（1）按磋商文件规定的各项要求，向</w:t>
      </w:r>
      <w:r>
        <w:rPr>
          <w:rFonts w:hint="eastAsia" w:ascii="宋体" w:hAnsi="宋体" w:cs="宋体"/>
          <w:color w:val="auto"/>
          <w:sz w:val="24"/>
          <w:highlight w:val="none"/>
          <w:u w:val="single"/>
        </w:rPr>
        <w:t xml:space="preserve">   采购单位名称    </w:t>
      </w:r>
      <w:r>
        <w:rPr>
          <w:rFonts w:hint="eastAsia" w:ascii="宋体" w:hAnsi="宋体" w:cs="宋体"/>
          <w:color w:val="auto"/>
          <w:sz w:val="24"/>
          <w:highlight w:val="none"/>
        </w:rPr>
        <w:t xml:space="preserve">提供所需相关服务，总报价为（大写）__________________人民币。</w:t>
      </w:r>
      <w:r/>
    </w:p>
    <w:p>
      <w:pPr>
        <w:ind w:firstLine="420"/>
        <w:jc w:val="left"/>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（2）我们完全理解贵方不一定将合同授予最低报价的供应商。</w:t>
      </w:r>
      <w:r/>
    </w:p>
    <w:p>
      <w:pPr>
        <w:ind w:firstLine="420"/>
        <w:jc w:val="left"/>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（3）我们已详细审核全部磋商文件及其有效补充文件，我们知道必须放弃提出含糊不清或误解问题的权利。</w:t>
      </w:r>
      <w:r/>
    </w:p>
    <w:p>
      <w:pPr>
        <w:ind w:firstLine="420"/>
        <w:jc w:val="left"/>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（4）我们同意从规定的响应文件开启之日起遵循本响应文件，并在规定的有效期届满之前均具有约束力。</w:t>
      </w:r>
      <w:r/>
    </w:p>
    <w:p>
      <w:pPr>
        <w:ind w:firstLine="420"/>
        <w:jc w:val="left"/>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（5）如果在响应文件开启后规定的有效期内撤回响应文件或中标后拒绝签订合同，由此给采购人造成损失的，我方将承担赔偿责任。</w:t>
      </w:r>
      <w:r/>
    </w:p>
    <w:p>
      <w:pPr>
        <w:ind w:firstLine="420"/>
        <w:jc w:val="left"/>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（6）同意向贵方提供贵方可能另外要求的与磋商有关的任何证据或资料，并保证我方已提供和将要提供的文件是真实的、准确的。</w:t>
      </w:r>
      <w:r/>
    </w:p>
    <w:p>
      <w:pPr>
        <w:ind w:firstLine="42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（7）一旦我方中标，我方将根据磋商文件的规定，严格履行合同的责任和义务，并保证于规定的时间完成本项目，交付买方验收。保证不将项目全部或者部分转包给第三方。</w:t>
      </w:r>
      <w:r/>
    </w:p>
    <w:p>
      <w:pPr>
        <w:ind w:firstLine="420"/>
        <w:jc w:val="left"/>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（8）我们郑重声明：本单位未为此次项目提供过整体设计、规范编制或者项目管理、监理、检测等服务。</w:t>
      </w:r>
      <w:r/>
    </w:p>
    <w:p>
      <w:pPr>
        <w:ind w:firstLine="420"/>
        <w:jc w:val="left"/>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（9）遵守磋商文件中要求的收费项目和标准。</w:t>
      </w:r>
      <w:r/>
    </w:p>
    <w:p>
      <w:pPr>
        <w:ind w:firstLine="420"/>
        <w:jc w:val="left"/>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（10）与本次磋商有关的正式通讯地址为：</w:t>
      </w:r>
      <w:r/>
    </w:p>
    <w:p>
      <w:pPr>
        <w:ind w:firstLine="515"/>
        <w:spacing w:after="0"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供应商名称（加盖CA电子公章）：</w:t>
      </w:r>
      <w:r>
        <w:rPr>
          <w:rFonts w:hint="eastAsia" w:ascii="宋体" w:hAnsi="宋体" w:cs="宋体"/>
          <w:color w:val="auto"/>
          <w:sz w:val="24"/>
          <w:highlight w:val="none"/>
          <w:u w:val="single"/>
        </w:rPr>
        <w:t xml:space="preserve">                       </w:t>
      </w:r>
      <w:r/>
    </w:p>
    <w:p>
      <w:pPr>
        <w:ind w:firstLine="515"/>
        <w:spacing w:after="0"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法定代表人或授权代表（签字或盖章）：</w:t>
      </w:r>
      <w:r>
        <w:rPr>
          <w:rFonts w:hint="eastAsia" w:ascii="宋体" w:hAnsi="宋体" w:cs="宋体"/>
          <w:color w:val="auto"/>
          <w:sz w:val="24"/>
          <w:highlight w:val="none"/>
          <w:u w:val="single"/>
        </w:rPr>
        <w:t xml:space="preserve">                  </w:t>
      </w:r>
      <w:r/>
    </w:p>
    <w:p>
      <w:pPr>
        <w:ind w:firstLine="515"/>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日      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515"/>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单位地址：</w:t>
      </w:r>
      <w:r>
        <w:rPr>
          <w:rFonts w:hint="eastAsia" w:ascii="宋体" w:hAnsi="宋体" w:cs="宋体"/>
          <w:color w:val="auto"/>
          <w:sz w:val="24"/>
          <w:highlight w:val="none"/>
          <w:u w:val="single"/>
        </w:rPr>
        <w:t xml:space="preserve">                          </w:t>
      </w:r>
      <w:r/>
    </w:p>
    <w:p>
      <w:pPr>
        <w:ind w:firstLine="515"/>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单位开户银行及账户：</w:t>
      </w:r>
      <w:r>
        <w:rPr>
          <w:rFonts w:hint="eastAsia" w:ascii="宋体" w:hAnsi="宋体" w:cs="宋体"/>
          <w:color w:val="auto"/>
          <w:sz w:val="24"/>
          <w:highlight w:val="none"/>
          <w:u w:val="single"/>
        </w:rPr>
        <w:t xml:space="preserve">                </w:t>
      </w:r>
      <w:r/>
    </w:p>
    <w:p>
      <w:pPr>
        <w:ind w:firstLine="515"/>
        <w:spacing w:after="0" w:line="360" w:lineRule="auto"/>
        <w:rPr>
          <w:rFonts w:ascii="楷体_GB2312"/>
          <w:color w:val="auto"/>
          <w:sz w:val="24"/>
          <w:highlight w:val="none"/>
        </w:rPr>
      </w:pPr>
      <w:r>
        <w:rPr>
          <w:rFonts w:hint="eastAsia" w:ascii="宋体" w:hAnsi="宋体" w:cs="宋体"/>
          <w:color w:val="auto"/>
          <w:sz w:val="24"/>
          <w:highlight w:val="none"/>
        </w:rPr>
        <w:t xml:space="preserve">传    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电    话：</w:t>
      </w:r>
      <w:r>
        <w:rPr>
          <w:rFonts w:hint="eastAsia" w:ascii="宋体" w:hAnsi="宋体" w:cs="宋体"/>
          <w:color w:val="auto"/>
          <w:sz w:val="24"/>
          <w:highlight w:val="none"/>
          <w:u w:val="single"/>
        </w:rPr>
        <w:t xml:space="preserve">                </w:t>
      </w:r>
      <w:r/>
    </w:p>
    <w:p>
      <w:pPr>
        <w:rPr>
          <w:rFonts w:ascii="宋体" w:hAnsi="宋体" w:cs="宋体"/>
          <w:b/>
          <w:bCs/>
          <w:color w:val="auto"/>
          <w:sz w:val="28"/>
          <w:szCs w:val="28"/>
          <w:highlight w:val="none"/>
        </w:rPr>
      </w:pPr>
      <w:r/>
      <w:bookmarkStart w:id="140" w:name="_Toc32686"/>
      <w:r/>
      <w:bookmarkEnd w:id="140"/>
      <w:r>
        <w:rPr>
          <w:rFonts w:hint="eastAsia" w:ascii="宋体" w:hAnsi="宋体" w:cs="宋体"/>
          <w:b/>
          <w:bCs/>
          <w:color w:val="auto"/>
          <w:szCs w:val="21"/>
          <w:highlight w:val="none"/>
        </w:rPr>
        <w:t xml:space="preserve">附件2：</w:t>
      </w:r>
      <w:r>
        <w:rPr>
          <w:rFonts w:hint="eastAsia" w:ascii="宋体" w:hAnsi="宋体" w:cs="宋体"/>
          <w:b/>
          <w:bCs/>
          <w:color w:val="auto"/>
          <w:sz w:val="28"/>
          <w:szCs w:val="28"/>
          <w:highlight w:val="none"/>
        </w:rPr>
        <w:t xml:space="preserve">                  </w:t>
      </w:r>
      <w:r/>
    </w:p>
    <w:p>
      <w:pPr>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法定代表人资格证明书</w:t>
      </w:r>
      <w:r/>
    </w:p>
    <w:p>
      <w:pPr>
        <w:ind w:firstLine="315"/>
        <w:jc w:val="left"/>
        <w:spacing w:line="520" w:lineRule="exact"/>
        <w:rPr>
          <w:rFonts w:ascii="宋体" w:hAnsi="宋体" w:cs="宋体"/>
          <w:color w:val="auto"/>
          <w:sz w:val="24"/>
          <w:highlight w:val="none"/>
        </w:rPr>
      </w:pPr>
      <w:r>
        <w:rPr>
          <w:rFonts w:hint="eastAsia" w:ascii="宋体" w:hAnsi="宋体" w:cs="宋体"/>
          <w:color w:val="auto"/>
          <w:sz w:val="24"/>
          <w:highlight w:val="none"/>
          <w:u w:val="single"/>
        </w:rPr>
        <w:t xml:space="preserve">（法定代表人姓名）</w:t>
      </w:r>
      <w:r>
        <w:rPr>
          <w:rFonts w:hint="eastAsia" w:ascii="宋体" w:hAnsi="宋体" w:cs="宋体"/>
          <w:color w:val="auto"/>
          <w:sz w:val="24"/>
          <w:highlight w:val="none"/>
        </w:rPr>
        <w:t xml:space="preserve">在</w:t>
      </w:r>
      <w:r>
        <w:rPr>
          <w:rFonts w:hint="eastAsia" w:ascii="宋体" w:hAnsi="宋体" w:cs="宋体"/>
          <w:color w:val="auto"/>
          <w:sz w:val="24"/>
          <w:highlight w:val="none"/>
          <w:u w:val="single"/>
        </w:rPr>
        <w:t xml:space="preserve">（供应商名称）</w:t>
      </w:r>
      <w:r>
        <w:rPr>
          <w:rFonts w:hint="eastAsia" w:ascii="宋体" w:hAnsi="宋体" w:cs="宋体"/>
          <w:color w:val="auto"/>
          <w:sz w:val="24"/>
          <w:highlight w:val="none"/>
        </w:rPr>
        <w:t xml:space="preserve">处担任</w:t>
      </w:r>
      <w:r>
        <w:rPr>
          <w:rFonts w:hint="eastAsia" w:ascii="宋体" w:hAnsi="宋体" w:cs="宋体"/>
          <w:color w:val="auto"/>
          <w:sz w:val="24"/>
          <w:highlight w:val="none"/>
          <w:u w:val="single"/>
        </w:rPr>
        <w:t xml:space="preserve">（职务名称）</w:t>
      </w:r>
      <w:r>
        <w:rPr>
          <w:rFonts w:hint="eastAsia" w:ascii="宋体" w:hAnsi="宋体" w:cs="宋体"/>
          <w:color w:val="auto"/>
          <w:sz w:val="24"/>
          <w:highlight w:val="none"/>
        </w:rPr>
        <w:t xml:space="preserve">职务，是</w:t>
      </w:r>
      <w:r>
        <w:rPr>
          <w:rFonts w:hint="eastAsia" w:ascii="宋体" w:hAnsi="宋体" w:cs="宋体"/>
          <w:color w:val="auto"/>
          <w:sz w:val="24"/>
          <w:highlight w:val="none"/>
          <w:u w:val="single"/>
        </w:rPr>
        <w:t xml:space="preserve">（供应商名称）</w:t>
      </w:r>
      <w:r>
        <w:rPr>
          <w:rFonts w:hint="eastAsia" w:ascii="宋体" w:hAnsi="宋体" w:cs="宋体"/>
          <w:color w:val="auto"/>
          <w:sz w:val="24"/>
          <w:highlight w:val="none"/>
        </w:rPr>
        <w:t xml:space="preserve">的法定代表人。</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315"/>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特此证明。</w:t>
      </w:r>
      <w:r/>
    </w:p>
    <w:p>
      <w:pPr>
        <w:ind w:firstLine="315"/>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供应商名称：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（加盖CA电子公章）</w:t>
      </w:r>
      <w:r/>
    </w:p>
    <w:p>
      <w:pPr>
        <w:ind w:firstLine="315"/>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说明：上述证明文件在响应文件中附有法定代表人身份证扫描件或护照扫描件（供应商的法定代表人为外籍人士的，则提供护照扫描件）时才能生效。</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 </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法定代表人身份证扫描件（正反两面）：</w:t>
      </w:r>
      <w:r/>
    </w:p>
    <w:p>
      <w:pPr>
        <w:ind w:firstLine="480"/>
        <w:rPr>
          <w:rFonts w:ascii="宋体" w:hAnsi="宋体"/>
          <w:color w:val="auto"/>
          <w:sz w:val="24"/>
          <w:highlight w:val="none"/>
        </w:rPr>
      </w:pPr>
      <w:r>
        <w:rPr>
          <w:rFonts w:hint="eastAsia" w:ascii="宋体" w:hAnsi="宋体"/>
          <w:color w:val="auto"/>
          <w:sz w:val="24"/>
          <w:highlight w:val="none"/>
        </w:rPr>
        <w:t xml:space="preserve"> </w:t>
      </w:r>
      <w:r/>
    </w:p>
    <w:tbl>
      <w:tblPr>
        <w:tblStyle w:val="975"/>
        <w:tblW w:w="8707"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31"/>
        <w:gridCol w:w="649"/>
        <w:gridCol w:w="4027"/>
      </w:tblGrid>
      <w:tr>
        <w:trPr>
          <w:trHeight w:val="2487"/>
        </w:trPr>
        <w:tc>
          <w:tcPr>
            <w:tcBorders>
              <w:top w:val="single" w:color="auto" w:sz="4" w:space="0"/>
              <w:left w:val="single" w:color="auto" w:sz="4" w:space="0"/>
              <w:bottom w:val="single" w:color="auto" w:sz="4" w:space="0"/>
              <w:right w:val="single" w:color="auto" w:sz="4" w:space="0"/>
            </w:tcBorders>
            <w:tcW w:w="4031" w:type="dxa"/>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p>
            <w:pPr>
              <w:jc w:val="center"/>
              <w:rPr>
                <w:rFonts w:ascii="宋体" w:hAnsi="宋体"/>
                <w:color w:val="auto"/>
                <w:sz w:val="24"/>
                <w:highlight w:val="none"/>
              </w:rPr>
            </w:pPr>
            <w:r>
              <w:rPr>
                <w:rFonts w:ascii="宋体" w:hAnsi="宋体"/>
                <w:color w:val="auto"/>
                <w:sz w:val="24"/>
                <w:highlight w:val="none"/>
              </w:rPr>
            </w:r>
            <w:r/>
          </w:p>
          <w:p>
            <w:pPr>
              <w:ind w:firstLine="480"/>
              <w:jc w:val="center"/>
              <w:rPr>
                <w:rFonts w:ascii="宋体" w:hAnsi="宋体"/>
                <w:color w:val="auto"/>
                <w:sz w:val="24"/>
                <w:highlight w:val="none"/>
              </w:rPr>
            </w:pPr>
            <w:r>
              <w:rPr>
                <w:rFonts w:ascii="宋体" w:hAnsi="宋体"/>
                <w:color w:val="auto"/>
                <w:sz w:val="24"/>
                <w:highlight w:val="none"/>
              </w:rPr>
            </w:r>
            <w:r/>
          </w:p>
          <w:p>
            <w:pPr>
              <w:jc w:val="center"/>
              <w:rPr>
                <w:rFonts w:ascii="宋体" w:hAnsi="宋体"/>
                <w:color w:val="auto"/>
                <w:sz w:val="24"/>
                <w:highlight w:val="none"/>
              </w:rPr>
            </w:pPr>
            <w:r>
              <w:rPr>
                <w:rFonts w:hint="eastAsia" w:ascii="宋体" w:hAnsi="宋体"/>
                <w:color w:val="auto"/>
                <w:sz w:val="24"/>
                <w:highlight w:val="none"/>
              </w:rPr>
              <w:t xml:space="preserve">法定代表人身份证正面扫描件</w:t>
            </w:r>
            <w:r/>
          </w:p>
        </w:tc>
        <w:tc>
          <w:tcPr>
            <w:tcBorders>
              <w:top w:val="none" w:color="000000" w:sz="4" w:space="0"/>
              <w:left w:val="none" w:color="000000" w:sz="4" w:space="0"/>
              <w:bottom w:val="none" w:color="000000" w:sz="4" w:space="0"/>
              <w:right w:val="single" w:color="auto" w:sz="4" w:space="0"/>
            </w:tcBorders>
            <w:tcW w:w="649" w:type="dxa"/>
            <w:textDirection w:val="lrTb"/>
            <w:noWrap w:val="false"/>
          </w:tcPr>
          <w:p>
            <w:pPr>
              <w:ind w:left="621" w:firstLine="480"/>
              <w:jc w:val="center"/>
              <w:rPr>
                <w:rFonts w:ascii="宋体" w:hAnsi="宋体"/>
                <w:color w:val="auto"/>
                <w:sz w:val="24"/>
                <w:highlight w:val="none"/>
              </w:rPr>
            </w:pPr>
            <w:r>
              <w:rPr>
                <w:rFonts w:ascii="宋体" w:hAnsi="宋体"/>
                <w:color w:val="auto"/>
                <w:sz w:val="24"/>
                <w:highlight w:val="none"/>
              </w:rPr>
            </w:r>
            <w:r/>
          </w:p>
          <w:p>
            <w:pPr>
              <w:jc w:val="center"/>
              <w:widowControl/>
              <w:rPr>
                <w:rFonts w:ascii="宋体" w:hAnsi="宋体" w:cs="宋体"/>
                <w:color w:val="auto"/>
                <w:sz w:val="24"/>
                <w:highlight w:val="none"/>
              </w:rPr>
            </w:pPr>
            <w:r>
              <w:rPr>
                <w:rFonts w:ascii="宋体" w:hAnsi="宋体" w:cs="宋体"/>
                <w:color w:val="auto"/>
                <w:sz w:val="24"/>
                <w:highlight w:val="none"/>
              </w:rPr>
            </w:r>
            <w:r/>
          </w:p>
          <w:p>
            <w:pPr>
              <w:jc w:val="center"/>
              <w:widowControl/>
              <w:rPr>
                <w:rFonts w:ascii="宋体" w:hAnsi="宋体" w:cs="宋体"/>
                <w:color w:val="auto"/>
                <w:sz w:val="24"/>
                <w:highlight w:val="none"/>
              </w:rPr>
            </w:pPr>
            <w:r>
              <w:rPr>
                <w:rFonts w:ascii="宋体" w:hAnsi="宋体" w:cs="宋体"/>
                <w:color w:val="auto"/>
                <w:sz w:val="24"/>
                <w:highlight w:val="none"/>
              </w:rPr>
            </w:r>
            <w:r/>
          </w:p>
          <w:p>
            <w:pPr>
              <w:jc w:val="center"/>
              <w:widowControl/>
              <w:rPr>
                <w:rFonts w:ascii="宋体" w:hAnsi="宋体" w:cs="宋体"/>
                <w:color w:val="auto"/>
                <w:sz w:val="24"/>
                <w:highlight w:val="none"/>
              </w:rPr>
            </w:pPr>
            <w:r>
              <w:rPr>
                <w:rFonts w:ascii="宋体" w:hAnsi="宋体" w:cs="宋体"/>
                <w:color w:val="auto"/>
                <w:sz w:val="24"/>
                <w:highlight w:val="none"/>
              </w:rPr>
            </w:r>
            <w:r/>
          </w:p>
          <w:p>
            <w:pPr>
              <w:jc w:val="center"/>
              <w:widowControl/>
              <w:rPr>
                <w:rFonts w:ascii="宋体" w:hAnsi="宋体" w:cs="宋体"/>
                <w:color w:val="auto"/>
                <w:sz w:val="24"/>
                <w:highlight w:val="none"/>
              </w:rPr>
            </w:pPr>
            <w:r>
              <w:rPr>
                <w:rFonts w:ascii="宋体" w:hAnsi="宋体" w:cs="宋体"/>
                <w:color w:val="auto"/>
                <w:sz w:val="24"/>
                <w:highlight w:val="none"/>
              </w:rPr>
            </w:r>
            <w:r/>
          </w:p>
          <w:p>
            <w:pPr>
              <w:jc w:val="center"/>
              <w:widowControl/>
              <w:rPr>
                <w:rFonts w:ascii="宋体" w:hAnsi="宋体" w:cs="宋体"/>
                <w:color w:val="auto"/>
                <w:sz w:val="24"/>
                <w:highlight w:val="none"/>
              </w:rPr>
            </w:pPr>
            <w:r>
              <w:rPr>
                <w:rFonts w:ascii="宋体" w:hAnsi="宋体" w:cs="宋体"/>
                <w:color w:val="auto"/>
                <w:sz w:val="24"/>
                <w:highlight w:val="none"/>
              </w:rPr>
            </w:r>
            <w:r/>
          </w:p>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none" w:color="000000" w:sz="4" w:space="0"/>
              <w:bottom w:val="single" w:color="auto" w:sz="4" w:space="0"/>
              <w:right w:val="single" w:color="auto" w:sz="4" w:space="0"/>
            </w:tcBorders>
            <w:tcW w:w="4027" w:type="dxa"/>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p>
            <w:pPr>
              <w:ind w:firstLine="480"/>
              <w:jc w:val="center"/>
              <w:rPr>
                <w:rFonts w:ascii="宋体" w:hAnsi="宋体"/>
                <w:color w:val="auto"/>
                <w:sz w:val="24"/>
                <w:highlight w:val="none"/>
              </w:rPr>
            </w:pPr>
            <w:r>
              <w:rPr>
                <w:rFonts w:ascii="宋体" w:hAnsi="宋体"/>
                <w:color w:val="auto"/>
                <w:sz w:val="24"/>
                <w:highlight w:val="none"/>
              </w:rPr>
            </w:r>
            <w:r/>
          </w:p>
          <w:p>
            <w:pPr>
              <w:ind w:firstLine="480"/>
              <w:jc w:val="center"/>
              <w:rPr>
                <w:rFonts w:ascii="宋体" w:hAnsi="宋体"/>
                <w:color w:val="auto"/>
                <w:sz w:val="24"/>
                <w:highlight w:val="none"/>
              </w:rPr>
            </w:pPr>
            <w:r>
              <w:rPr>
                <w:rFonts w:ascii="宋体" w:hAnsi="宋体"/>
                <w:color w:val="auto"/>
                <w:sz w:val="24"/>
                <w:highlight w:val="none"/>
              </w:rPr>
            </w:r>
            <w:r/>
          </w:p>
          <w:p>
            <w:pPr>
              <w:jc w:val="center"/>
              <w:rPr>
                <w:rFonts w:ascii="宋体" w:hAnsi="宋体"/>
                <w:color w:val="auto"/>
                <w:sz w:val="24"/>
                <w:highlight w:val="none"/>
              </w:rPr>
            </w:pPr>
            <w:r>
              <w:rPr>
                <w:rFonts w:hint="eastAsia" w:ascii="宋体" w:hAnsi="宋体"/>
                <w:color w:val="auto"/>
                <w:sz w:val="24"/>
                <w:highlight w:val="none"/>
              </w:rPr>
              <w:t xml:space="preserve">法定代表人身份证反面扫描件</w:t>
            </w:r>
            <w:r/>
          </w:p>
          <w:p>
            <w:pPr>
              <w:ind w:firstLine="1418"/>
              <w:jc w:val="center"/>
              <w:rPr>
                <w:rFonts w:ascii="宋体" w:hAnsi="宋体"/>
                <w:color w:val="auto"/>
                <w:sz w:val="24"/>
                <w:highlight w:val="none"/>
              </w:rPr>
            </w:pPr>
            <w:r>
              <w:rPr>
                <w:rFonts w:ascii="宋体" w:hAnsi="宋体"/>
                <w:color w:val="auto"/>
                <w:sz w:val="24"/>
                <w:highlight w:val="none"/>
              </w:rPr>
            </w:r>
            <w:r/>
          </w:p>
        </w:tc>
      </w:tr>
    </w:tbl>
    <w:p>
      <w:pPr>
        <w:jc w:val="left"/>
        <w:rPr>
          <w:color w:val="auto"/>
          <w:highlight w:val="none"/>
        </w:rPr>
      </w:pPr>
      <w:r>
        <w:rPr>
          <w:rFonts w:hint="eastAsia" w:ascii="宋体" w:hAnsi="宋体" w:cs="宋体"/>
          <w:color w:val="auto"/>
          <w:szCs w:val="21"/>
          <w:highlight w:val="none"/>
        </w:rPr>
        <w:br w:type="page" w:clear="all"/>
      </w:r>
      <w:bookmarkStart w:id="141" w:name="_Toc31117"/>
      <w:r/>
      <w:bookmarkEnd w:id="141"/>
      <w:r>
        <w:rPr>
          <w:rFonts w:hint="eastAsia" w:ascii="宋体" w:hAnsi="宋体" w:cs="宋体"/>
          <w:b/>
          <w:bCs/>
          <w:color w:val="auto"/>
          <w:highlight w:val="none"/>
        </w:rPr>
        <w:t xml:space="preserve">附件3：</w:t>
      </w:r>
      <w:r/>
    </w:p>
    <w:p>
      <w:pPr>
        <w:jc w:val="center"/>
        <w:rPr>
          <w:b/>
          <w:bCs/>
          <w:color w:val="auto"/>
          <w:sz w:val="28"/>
          <w:szCs w:val="28"/>
          <w:highlight w:val="none"/>
        </w:rPr>
      </w:pPr>
      <w:r>
        <w:rPr>
          <w:rFonts w:hint="eastAsia"/>
          <w:b/>
          <w:bCs/>
          <w:color w:val="auto"/>
          <w:sz w:val="28"/>
          <w:szCs w:val="28"/>
          <w:highlight w:val="none"/>
        </w:rPr>
        <w:t xml:space="preserve">法定代表人授权书</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__________________（采购人名称）：</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本授权声明：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（供应商单位名称）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（法定代表人姓名、职务）授权</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（被委托代理人姓名、职务）为我方“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”项目磋商活动的合法代表，以我方名义全权处理该项目有关磋商、签订合同以及执行合同等一切事宜。</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特此声明。</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供应商名称：（加盖CA电子公章）</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法定代表人或授权代表：（签字或盖章）</w:t>
      </w:r>
      <w:r/>
    </w:p>
    <w:p>
      <w:pPr>
        <w:ind w:firstLine="42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w:t>
      </w:r>
      <w:r>
        <w:rPr>
          <w:rFonts w:hint="eastAsia" w:ascii="宋体" w:hAnsi="宋体" w:cs="宋体"/>
          <w:color w:val="auto"/>
          <w:sz w:val="24"/>
          <w:highlight w:val="none"/>
        </w:rPr>
        <w:t xml:space="preserve">说明：</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一、上述证明文件在响应文件中附有代理人身份证扫描件时才能生效。</w:t>
      </w:r>
      <w:r/>
    </w:p>
    <w:p>
      <w:pP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 </w:t>
      </w:r>
      <w:r/>
    </w:p>
    <w:p>
      <w:pPr>
        <w:ind w:firstLine="480"/>
        <w:rPr>
          <w:rFonts w:ascii="宋体" w:hAnsi="宋体"/>
          <w:color w:val="auto"/>
          <w:sz w:val="24"/>
          <w:highlight w:val="none"/>
        </w:rPr>
      </w:pPr>
      <w:r>
        <w:rPr>
          <w:rFonts w:hint="eastAsia" w:ascii="宋体" w:hAnsi="宋体"/>
          <w:color w:val="auto"/>
          <w:sz w:val="24"/>
          <w:highlight w:val="none"/>
        </w:rPr>
        <w:t xml:space="preserve">授权代表身份证扫描件（正反两面）：</w:t>
      </w:r>
      <w:r/>
    </w:p>
    <w:p>
      <w:pPr>
        <w:ind w:firstLine="480"/>
        <w:rPr>
          <w:rFonts w:ascii="宋体" w:hAnsi="宋体"/>
          <w:color w:val="auto"/>
          <w:szCs w:val="21"/>
          <w:highlight w:val="none"/>
        </w:rPr>
      </w:pPr>
      <w:r>
        <w:rPr>
          <w:rFonts w:hint="eastAsia" w:ascii="宋体" w:hAnsi="宋体"/>
          <w:color w:val="auto"/>
          <w:szCs w:val="21"/>
          <w:highlight w:val="none"/>
        </w:rPr>
        <w:t xml:space="preserve"> </w:t>
      </w:r>
      <w:r/>
    </w:p>
    <w:tbl>
      <w:tblPr>
        <w:tblStyle w:val="975"/>
        <w:tblW w:w="8707"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31"/>
        <w:gridCol w:w="469"/>
        <w:gridCol w:w="4207"/>
      </w:tblGrid>
      <w:tr>
        <w:trPr>
          <w:trHeight w:val="2673"/>
        </w:trPr>
        <w:tc>
          <w:tcPr>
            <w:tcBorders>
              <w:top w:val="single" w:color="auto" w:sz="4" w:space="0"/>
              <w:left w:val="single" w:color="auto" w:sz="4" w:space="0"/>
              <w:bottom w:val="single" w:color="auto" w:sz="4" w:space="0"/>
              <w:right w:val="single" w:color="auto" w:sz="4" w:space="0"/>
            </w:tcBorders>
            <w:tcW w:w="4031" w:type="dxa"/>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p>
            <w:pPr>
              <w:ind w:firstLine="480"/>
              <w:jc w:val="center"/>
              <w:rPr>
                <w:rFonts w:ascii="宋体" w:hAnsi="宋体"/>
                <w:color w:val="auto"/>
                <w:sz w:val="24"/>
                <w:highlight w:val="none"/>
              </w:rPr>
            </w:pPr>
            <w:r>
              <w:rPr>
                <w:rFonts w:ascii="宋体" w:hAnsi="宋体"/>
                <w:color w:val="auto"/>
                <w:sz w:val="24"/>
                <w:highlight w:val="none"/>
              </w:rPr>
            </w:r>
            <w:r/>
          </w:p>
          <w:p>
            <w:pPr>
              <w:jc w:val="center"/>
              <w:rPr>
                <w:rFonts w:ascii="宋体" w:hAnsi="宋体"/>
                <w:color w:val="auto"/>
                <w:sz w:val="24"/>
                <w:highlight w:val="none"/>
              </w:rPr>
            </w:pPr>
            <w:r>
              <w:rPr>
                <w:rFonts w:hint="eastAsia" w:ascii="宋体" w:hAnsi="宋体"/>
                <w:color w:val="auto"/>
                <w:sz w:val="24"/>
                <w:highlight w:val="none"/>
              </w:rPr>
              <w:t xml:space="preserve">被委托代理人身份证正面扫描件</w:t>
            </w:r>
            <w:r/>
          </w:p>
          <w:p>
            <w:pPr>
              <w:ind w:firstLine="480"/>
              <w:jc w:val="center"/>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none" w:color="000000" w:sz="4" w:space="0"/>
              <w:right w:val="single" w:color="auto" w:sz="4" w:space="0"/>
            </w:tcBorders>
            <w:tcW w:w="469"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none" w:color="000000" w:sz="4" w:space="0"/>
              <w:bottom w:val="single" w:color="auto" w:sz="4" w:space="0"/>
              <w:right w:val="single" w:color="auto" w:sz="4" w:space="0"/>
            </w:tcBorders>
            <w:tcW w:w="4207" w:type="dxa"/>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p>
            <w:pPr>
              <w:ind w:firstLine="480"/>
              <w:jc w:val="center"/>
              <w:rPr>
                <w:rFonts w:ascii="宋体" w:hAnsi="宋体"/>
                <w:color w:val="auto"/>
                <w:sz w:val="24"/>
                <w:highlight w:val="none"/>
              </w:rPr>
            </w:pPr>
            <w:r>
              <w:rPr>
                <w:rFonts w:ascii="宋体" w:hAnsi="宋体"/>
                <w:color w:val="auto"/>
                <w:sz w:val="24"/>
                <w:highlight w:val="none"/>
              </w:rPr>
            </w:r>
            <w:r/>
          </w:p>
          <w:p>
            <w:pPr>
              <w:jc w:val="center"/>
              <w:rPr>
                <w:rFonts w:ascii="宋体" w:hAnsi="宋体"/>
                <w:color w:val="auto"/>
                <w:sz w:val="24"/>
                <w:highlight w:val="none"/>
              </w:rPr>
            </w:pPr>
            <w:r>
              <w:rPr>
                <w:rFonts w:hint="eastAsia" w:ascii="宋体" w:hAnsi="宋体"/>
                <w:color w:val="auto"/>
                <w:sz w:val="24"/>
                <w:highlight w:val="none"/>
              </w:rPr>
              <w:t xml:space="preserve">被委托代理人身份证反面扫描件</w:t>
            </w:r>
            <w:r/>
          </w:p>
          <w:p>
            <w:pPr>
              <w:ind w:firstLine="1418"/>
              <w:jc w:val="center"/>
              <w:rPr>
                <w:rFonts w:ascii="宋体" w:hAnsi="宋体"/>
                <w:color w:val="auto"/>
                <w:sz w:val="24"/>
                <w:highlight w:val="none"/>
              </w:rPr>
            </w:pPr>
            <w:r>
              <w:rPr>
                <w:rFonts w:ascii="宋体" w:hAnsi="宋体"/>
                <w:color w:val="auto"/>
                <w:sz w:val="24"/>
                <w:highlight w:val="none"/>
              </w:rPr>
            </w:r>
            <w:r/>
          </w:p>
        </w:tc>
      </w:tr>
    </w:tbl>
    <w:p>
      <w:pPr>
        <w:ind w:right="105" w:firstLine="420"/>
        <w:spacing w:line="600" w:lineRule="exact"/>
        <w:rPr>
          <w:rFonts w:ascii="宋体" w:hAnsi="宋体" w:cs="宋体"/>
          <w:color w:val="auto"/>
          <w:szCs w:val="21"/>
          <w:highlight w:val="none"/>
        </w:rPr>
      </w:pPr>
      <w:r>
        <w:rPr>
          <w:rFonts w:ascii="宋体" w:hAnsi="宋体" w:cs="宋体"/>
          <w:color w:val="auto"/>
          <w:szCs w:val="21"/>
          <w:highlight w:val="none"/>
        </w:rPr>
      </w:r>
      <w:r/>
    </w:p>
    <w:p>
      <w:pPr>
        <w:ind w:right="105" w:firstLine="420"/>
        <w:spacing w:line="600" w:lineRule="exact"/>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b/>
          <w:bCs/>
          <w:color w:val="auto"/>
          <w:szCs w:val="21"/>
          <w:highlight w:val="none"/>
        </w:rPr>
      </w:pPr>
      <w:r>
        <w:rPr>
          <w:rFonts w:ascii="宋体" w:hAnsi="宋体" w:cs="宋体"/>
          <w:b/>
          <w:bCs/>
          <w:color w:val="auto"/>
          <w:szCs w:val="21"/>
          <w:highlight w:val="none"/>
        </w:rPr>
      </w:r>
      <w:r/>
    </w:p>
    <w:p>
      <w:pPr>
        <w:rPr>
          <w:rFonts w:ascii="宋体" w:hAnsi="宋体"/>
          <w:b/>
          <w:bCs/>
          <w:color w:val="auto"/>
          <w:sz w:val="28"/>
          <w:szCs w:val="28"/>
          <w:highlight w:val="none"/>
        </w:rPr>
      </w:pPr>
      <w:r>
        <w:rPr>
          <w:rFonts w:hint="eastAsia" w:ascii="宋体" w:hAnsi="宋体"/>
          <w:b/>
          <w:bCs/>
          <w:color w:val="auto"/>
          <w:szCs w:val="21"/>
          <w:highlight w:val="none"/>
        </w:rPr>
        <w:t xml:space="preserve"> </w:t>
      </w:r>
      <w:bookmarkStart w:id="142" w:name="_Toc25362"/>
      <w:r/>
      <w:bookmarkEnd w:id="142"/>
      <w:r>
        <w:rPr>
          <w:rFonts w:hint="eastAsia" w:ascii="宋体" w:hAnsi="宋体"/>
          <w:b/>
          <w:bCs/>
          <w:color w:val="auto"/>
          <w:szCs w:val="21"/>
          <w:highlight w:val="none"/>
        </w:rPr>
        <w:t xml:space="preserve">附件4：                        </w:t>
      </w:r>
      <w:r/>
    </w:p>
    <w:p>
      <w:pPr>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商务条款响应及偏离表</w:t>
      </w:r>
      <w:r/>
    </w:p>
    <w:p>
      <w:pPr>
        <w:ind w:firstLine="210"/>
        <w:rPr>
          <w:rFonts w:ascii="宋体" w:hAnsi="宋体" w:cs="宋体"/>
          <w:bCs/>
          <w:color w:val="auto"/>
          <w:szCs w:val="21"/>
          <w:highlight w:val="none"/>
        </w:rPr>
      </w:pPr>
      <w:r>
        <w:rPr>
          <w:rFonts w:hint="eastAsia" w:ascii="宋体" w:hAnsi="宋体" w:cs="宋体"/>
          <w:bCs/>
          <w:color w:val="auto"/>
          <w:szCs w:val="21"/>
          <w:highlight w:val="none"/>
        </w:rPr>
        <w:t xml:space="preserve">项目名称：</w:t>
      </w:r>
      <w:r>
        <w:rPr>
          <w:rFonts w:hint="eastAsia" w:ascii="宋体" w:hAnsi="宋体" w:cs="宋体"/>
          <w:bCs/>
          <w:color w:val="auto"/>
          <w:szCs w:val="21"/>
          <w:highlight w:val="none"/>
        </w:rPr>
        <w:tab/>
      </w:r>
      <w:r>
        <w:rPr>
          <w:rFonts w:hint="eastAsia" w:ascii="宋体" w:hAnsi="宋体" w:cs="宋体"/>
          <w:bCs/>
          <w:color w:val="auto"/>
          <w:szCs w:val="21"/>
          <w:highlight w:val="none"/>
        </w:rPr>
        <w:t xml:space="preserve">                                       项目编号：</w:t>
      </w:r>
      <w:r>
        <w:rPr>
          <w:rFonts w:hint="eastAsia" w:ascii="宋体" w:hAnsi="宋体" w:cs="宋体"/>
          <w:color w:val="auto"/>
          <w:szCs w:val="21"/>
          <w:highlight w:val="none"/>
        </w:rPr>
        <w:t xml:space="preserve"> </w:t>
      </w:r>
      <w:r/>
    </w:p>
    <w:tbl>
      <w:tblPr>
        <w:tblStyle w:val="975"/>
        <w:tblW w:w="9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jc w:val="center"/>
          <w:trHeight w:val="639"/>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pacing w:val="15"/>
                <w:szCs w:val="21"/>
                <w:highlight w:val="none"/>
              </w:rPr>
              <w:t xml:space="preserve">磋商文件采购需求</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ind w:firstLine="120"/>
              <w:jc w:val="center"/>
              <w:rPr>
                <w:rFonts w:ascii="宋体" w:hAnsi="宋体" w:cs="宋体"/>
                <w:color w:val="auto"/>
                <w:szCs w:val="21"/>
                <w:highlight w:val="none"/>
              </w:rPr>
            </w:pPr>
            <w:r>
              <w:rPr>
                <w:rFonts w:hint="eastAsia" w:ascii="宋体" w:hAnsi="宋体" w:cs="宋体"/>
                <w:color w:val="auto"/>
                <w:spacing w:val="15"/>
                <w:szCs w:val="21"/>
                <w:highlight w:val="none"/>
              </w:rPr>
              <w:t xml:space="preserve">响应文件具体响应情况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超出、</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符合或偏离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合同履行期限</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ascii="宋体" w:hAnsi="宋体" w:cs="宋体"/>
                <w:color w:val="auto"/>
                <w:szCs w:val="21"/>
                <w:highlight w:val="none"/>
              </w:rPr>
            </w:pPr>
            <w:r>
              <w:rPr>
                <w:rFonts w:hint="eastAsia" w:ascii="宋体" w:hAnsi="宋体" w:cs="仿宋_GB2312"/>
                <w:color w:val="auto"/>
                <w:szCs w:val="21"/>
                <w:highlight w:val="none"/>
                <w:lang w:val="zh-CN"/>
              </w:rPr>
              <w:t xml:space="preserve">服务地点</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ascii="宋体" w:hAnsi="宋体" w:cs="宋体"/>
                <w:color w:val="auto"/>
                <w:szCs w:val="21"/>
                <w:highlight w:val="none"/>
              </w:rPr>
            </w:pPr>
            <w:r>
              <w:rPr>
                <w:rFonts w:hint="eastAsia" w:ascii="宋体" w:hAnsi="宋体" w:cs="仿宋_GB2312"/>
                <w:color w:val="auto"/>
                <w:szCs w:val="21"/>
                <w:highlight w:val="none"/>
                <w:lang w:val="zh-CN"/>
              </w:rPr>
              <w:t xml:space="preserve">付款方式</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ascii="宋体" w:hAnsi="宋体" w:cs="宋体"/>
                <w:color w:val="auto"/>
                <w:szCs w:val="21"/>
                <w:highlight w:val="none"/>
              </w:rPr>
            </w:pPr>
            <w:r>
              <w:rPr>
                <w:rFonts w:hint="eastAsia" w:ascii="宋体" w:hAnsi="宋体" w:cs="仿宋_GB2312"/>
                <w:color w:val="auto"/>
                <w:szCs w:val="21"/>
                <w:highlight w:val="none"/>
                <w:lang w:val="zh-CN"/>
              </w:rPr>
              <w:t xml:space="preserve">其他商务要求</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ind w:hanging="105"/>
        <w:spacing w:line="500" w:lineRule="exact"/>
        <w:rPr>
          <w:rFonts w:ascii="宋体" w:hAnsi="宋体" w:cs="宋体"/>
          <w:color w:val="auto"/>
          <w:sz w:val="24"/>
          <w:highlight w:val="none"/>
        </w:rPr>
      </w:pPr>
      <w:r>
        <w:rPr>
          <w:rFonts w:hint="eastAsia" w:ascii="宋体" w:hAnsi="宋体"/>
          <w:color w:val="auto"/>
          <w:szCs w:val="21"/>
          <w:highlight w:val="none"/>
        </w:rPr>
        <w:t xml:space="preserve"> </w:t>
      </w:r>
      <w:r>
        <w:rPr>
          <w:rFonts w:hint="eastAsia" w:ascii="宋体" w:hAnsi="宋体" w:cs="宋体"/>
          <w:color w:val="auto"/>
          <w:sz w:val="24"/>
          <w:highlight w:val="none"/>
        </w:rPr>
        <w:t xml:space="preserve">填写说明：</w:t>
      </w:r>
      <w:r/>
    </w:p>
    <w:p>
      <w:pPr>
        <w:ind w:firstLine="840"/>
        <w:spacing w:line="400" w:lineRule="exact"/>
        <w:rPr>
          <w:rFonts w:ascii="宋体" w:hAnsi="宋体" w:cs="宋体"/>
          <w:color w:val="auto"/>
          <w:sz w:val="24"/>
          <w:highlight w:val="none"/>
        </w:rPr>
      </w:pPr>
      <w:r>
        <w:rPr>
          <w:rFonts w:hint="eastAsia" w:ascii="宋体" w:hAnsi="宋体" w:cs="宋体"/>
          <w:color w:val="auto"/>
          <w:sz w:val="24"/>
          <w:highlight w:val="none"/>
        </w:rPr>
        <w:t xml:space="preserve">1.按照基本技术要求详细填列；</w:t>
      </w:r>
      <w:r/>
    </w:p>
    <w:p>
      <w:pPr>
        <w:ind w:firstLine="840"/>
        <w:spacing w:line="400" w:lineRule="exact"/>
        <w:rPr>
          <w:rFonts w:ascii="宋体" w:hAnsi="宋体" w:cs="宋体"/>
          <w:color w:val="auto"/>
          <w:sz w:val="24"/>
          <w:highlight w:val="none"/>
        </w:rPr>
      </w:pPr>
      <w:r>
        <w:rPr>
          <w:rFonts w:hint="eastAsia" w:ascii="宋体" w:hAnsi="宋体" w:cs="宋体"/>
          <w:color w:val="auto"/>
          <w:sz w:val="24"/>
          <w:highlight w:val="none"/>
        </w:rPr>
        <w:t xml:space="preserve">2.行数不够，可自行添加。</w:t>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供应商名称：（加盖CA电子公章）</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法定代表人或授权代表：（签字或盖章）</w:t>
      </w:r>
      <w:r/>
    </w:p>
    <w:p>
      <w:pPr>
        <w:ind w:firstLine="42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pStyle w:val="979"/>
        <w:rPr>
          <w:color w:val="auto"/>
          <w:highlight w:val="none"/>
        </w:rPr>
      </w:pPr>
      <w:r>
        <w:rPr>
          <w:color w:val="auto"/>
          <w:highlight w:val="none"/>
        </w:rPr>
      </w:r>
      <w:r/>
    </w:p>
    <w:p>
      <w:pPr>
        <w:rPr>
          <w:rFonts w:ascii="宋体" w:hAnsi="宋体"/>
          <w:b/>
          <w:bCs/>
          <w:color w:val="auto"/>
          <w:szCs w:val="21"/>
          <w:highlight w:val="none"/>
        </w:rPr>
      </w:pPr>
      <w:r>
        <w:rPr>
          <w:rFonts w:hint="eastAsia" w:ascii="宋体" w:hAnsi="宋体"/>
          <w:b/>
          <w:bCs/>
          <w:color w:val="auto"/>
          <w:szCs w:val="21"/>
          <w:highlight w:val="none"/>
        </w:rPr>
        <w:br w:type="page" w:clear="all"/>
      </w:r>
      <w:r/>
    </w:p>
    <w:p>
      <w:pPr>
        <w:rPr>
          <w:rFonts w:ascii="宋体" w:hAnsi="宋体" w:cs="宋体"/>
          <w:b/>
          <w:bCs/>
          <w:color w:val="auto"/>
          <w:highlight w:val="none"/>
        </w:rPr>
      </w:pPr>
      <w:r>
        <w:rPr>
          <w:rFonts w:hint="eastAsia" w:ascii="宋体" w:hAnsi="宋体" w:cs="宋体"/>
          <w:b/>
          <w:bCs/>
          <w:color w:val="auto"/>
          <w:highlight w:val="none"/>
        </w:rPr>
        <w:t xml:space="preserve">附件5：</w:t>
      </w:r>
      <w:r/>
    </w:p>
    <w:p>
      <w:pPr>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采购需求响应及偏离表</w:t>
      </w:r>
      <w:r/>
    </w:p>
    <w:p>
      <w:pPr>
        <w:rPr>
          <w:rFonts w:ascii="宋体" w:hAnsi="宋体" w:cs="宋体"/>
          <w:bCs/>
          <w:color w:val="auto"/>
          <w:szCs w:val="21"/>
          <w:highlight w:val="none"/>
        </w:rPr>
      </w:pPr>
      <w:r>
        <w:rPr>
          <w:rFonts w:hint="eastAsia" w:ascii="宋体" w:hAnsi="宋体" w:cs="宋体"/>
          <w:bCs/>
          <w:color w:val="auto"/>
          <w:szCs w:val="21"/>
          <w:highlight w:val="none"/>
        </w:rPr>
        <w:t xml:space="preserve">项目名称：</w:t>
      </w:r>
      <w:r>
        <w:rPr>
          <w:rFonts w:hint="eastAsia" w:ascii="宋体" w:hAnsi="宋体" w:cs="宋体"/>
          <w:bCs/>
          <w:color w:val="auto"/>
          <w:szCs w:val="21"/>
          <w:highlight w:val="none"/>
        </w:rPr>
        <w:tab/>
      </w:r>
      <w:r>
        <w:rPr>
          <w:rFonts w:hint="eastAsia" w:ascii="宋体" w:hAnsi="宋体" w:cs="宋体"/>
          <w:bCs/>
          <w:color w:val="auto"/>
          <w:szCs w:val="21"/>
          <w:highlight w:val="none"/>
        </w:rPr>
        <w:t xml:space="preserve">                                       项目编号：</w:t>
      </w:r>
      <w:r/>
    </w:p>
    <w:tbl>
      <w:tblPr>
        <w:tblStyle w:val="975"/>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852" w:type="dxa"/>
            <w:vAlign w:val="center"/>
            <w:textDirection w:val="lrTb"/>
            <w:noWrap w:val="false"/>
          </w:tcPr>
          <w:p>
            <w:pPr>
              <w:rPr>
                <w:rFonts w:ascii="宋体" w:hAnsi="宋体" w:cs="宋体"/>
                <w:color w:val="auto"/>
                <w:szCs w:val="21"/>
                <w:highlight w:val="none"/>
              </w:rPr>
            </w:pPr>
            <w:r>
              <w:rPr>
                <w:rFonts w:hint="eastAsia" w:ascii="宋体" w:hAnsi="宋体" w:cs="宋体"/>
                <w:color w:val="auto"/>
                <w:spacing w:val="15"/>
                <w:szCs w:val="21"/>
                <w:highlight w:val="none"/>
              </w:rPr>
              <w:t xml:space="preserve">磋商文件采购需求</w:t>
            </w:r>
            <w:r/>
          </w:p>
        </w:tc>
        <w:tc>
          <w:tcPr>
            <w:tcW w:w="2852" w:type="dxa"/>
            <w:vAlign w:val="center"/>
            <w:textDirection w:val="lrTb"/>
            <w:noWrap w:val="false"/>
          </w:tcPr>
          <w:p>
            <w:pPr>
              <w:ind w:firstLine="120"/>
              <w:rPr>
                <w:rFonts w:ascii="宋体" w:hAnsi="宋体" w:cs="宋体"/>
                <w:color w:val="auto"/>
                <w:szCs w:val="21"/>
                <w:highlight w:val="none"/>
              </w:rPr>
            </w:pPr>
            <w:r>
              <w:rPr>
                <w:rFonts w:hint="eastAsia" w:ascii="宋体" w:hAnsi="宋体" w:cs="宋体"/>
                <w:color w:val="auto"/>
                <w:spacing w:val="15"/>
                <w:szCs w:val="21"/>
                <w:highlight w:val="none"/>
              </w:rPr>
              <w:t xml:space="preserve">响应文件具体响应情况</w:t>
            </w:r>
            <w:r/>
          </w:p>
        </w:tc>
        <w:tc>
          <w:tcPr>
            <w:tcW w:w="1308"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17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trHeight w:val="640"/>
        </w:trPr>
        <w:tc>
          <w:tcPr>
            <w:tcW w:w="98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pStyle w:val="991"/>
        <w:rPr>
          <w:color w:val="auto"/>
          <w:highlight w:val="none"/>
        </w:rPr>
      </w:pPr>
      <w:r>
        <w:rPr>
          <w:color w:val="auto"/>
          <w:highlight w:val="none"/>
        </w:rPr>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供应商名称：（加盖CA电子公章）</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法定代表人或授权代表：（签字或盖章）</w:t>
      </w:r>
      <w:r/>
    </w:p>
    <w:p>
      <w:pPr>
        <w:ind w:firstLine="42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rPr>
          <w:rFonts w:ascii="宋体" w:hAnsi="宋体" w:cs="宋体"/>
          <w:color w:val="auto"/>
          <w:highlight w:val="none"/>
        </w:rPr>
      </w:pPr>
      <w:r/>
      <w:bookmarkStart w:id="143" w:name="_Toc7415"/>
      <w:r/>
      <w:bookmarkEnd w:id="143"/>
      <w:r>
        <w:rPr>
          <w:rFonts w:hint="eastAsia" w:ascii="宋体" w:hAnsi="宋体" w:cs="宋体"/>
          <w:color w:val="auto"/>
          <w:highlight w:val="none"/>
        </w:rPr>
        <w:br w:type="page" w:clear="all"/>
      </w:r>
      <w:r/>
    </w:p>
    <w:p>
      <w:pPr>
        <w:rPr>
          <w:rFonts w:ascii="宋体" w:hAnsi="宋体" w:cs="宋体"/>
          <w:b/>
          <w:bCs/>
          <w:color w:val="auto"/>
          <w:highlight w:val="none"/>
        </w:rPr>
      </w:pPr>
      <w:r>
        <w:rPr>
          <w:rFonts w:hint="eastAsia" w:ascii="宋体" w:hAnsi="宋体" w:cs="宋体"/>
          <w:b/>
          <w:bCs/>
          <w:color w:val="auto"/>
          <w:highlight w:val="none"/>
        </w:rPr>
        <w:t xml:space="preserve">附件6：</w:t>
      </w:r>
      <w:r/>
    </w:p>
    <w:p>
      <w:pPr>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首次磋商报价表</w:t>
      </w:r>
      <w:r/>
    </w:p>
    <w:p>
      <w:pPr>
        <w:pStyle w:val="979"/>
        <w:ind w:firstLine="0"/>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项目编号： </w:t>
      </w:r>
      <w:r>
        <w:rPr>
          <w:rFonts w:hint="eastAsia" w:eastAsia="宋体" w:cs="宋体" w:asciiTheme="minorEastAsia" w:hAnsiTheme="minorEastAsia"/>
          <w:color w:val="auto"/>
          <w:sz w:val="24"/>
          <w:szCs w:val="24"/>
          <w:highlight w:val="none"/>
        </w:rPr>
        <w:t xml:space="preserve">                                               </w:t>
      </w:r>
      <w:r>
        <w:rPr>
          <w:rFonts w:cs="宋体" w:asciiTheme="minorEastAsia" w:hAnsiTheme="minorEastAsia" w:eastAsiaTheme="minorEastAsia"/>
          <w:color w:val="auto"/>
          <w:sz w:val="24"/>
          <w:szCs w:val="24"/>
          <w:highlight w:val="none"/>
        </w:rPr>
        <w:t xml:space="preserve"> 货币单位：人民币元</w:t>
      </w:r>
      <w:r/>
    </w:p>
    <w:tbl>
      <w:tblPr>
        <w:tblStyle w:val="975"/>
        <w:tblW w:w="9571" w:type="dxa"/>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2794"/>
        <w:gridCol w:w="2681"/>
        <w:gridCol w:w="4096"/>
      </w:tblGrid>
      <w:tr>
        <w:trPr>
          <w:tblCellSpacing w:w="15" w:type="dxa"/>
        </w:trPr>
        <w:tc>
          <w:tcPr>
            <w:tcBorders>
              <w:top w:val="single" w:color="auto" w:sz="6" w:space="0"/>
              <w:left w:val="single" w:color="auto" w:sz="6" w:space="0"/>
              <w:bottom w:val="single" w:color="auto" w:sz="6" w:space="0"/>
              <w:right w:val="single" w:color="auto" w:sz="6" w:space="0"/>
            </w:tcBorders>
            <w:tcW w:w="2749" w:type="dxa"/>
            <w:vAlign w:val="center"/>
            <w:textDirection w:val="lrTb"/>
            <w:noWrap w:val="false"/>
          </w:tcPr>
          <w:p>
            <w:pPr>
              <w:pStyle w:val="979"/>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项目名称</w:t>
            </w:r>
            <w:r/>
          </w:p>
        </w:tc>
        <w:tc>
          <w:tcPr>
            <w:tcBorders>
              <w:top w:val="single" w:color="auto" w:sz="6" w:space="0"/>
              <w:left w:val="single" w:color="auto" w:sz="6" w:space="0"/>
              <w:bottom w:val="single" w:color="auto" w:sz="6" w:space="0"/>
              <w:right w:val="single" w:color="auto" w:sz="6" w:space="0"/>
            </w:tcBorders>
            <w:tcW w:w="2651" w:type="dxa"/>
            <w:vAlign w:val="center"/>
            <w:textDirection w:val="lrTb"/>
            <w:noWrap w:val="false"/>
          </w:tcPr>
          <w:p>
            <w:pPr>
              <w:pStyle w:val="979"/>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项目内容</w:t>
            </w:r>
            <w:r/>
          </w:p>
        </w:tc>
        <w:tc>
          <w:tcPr>
            <w:tcBorders>
              <w:top w:val="single" w:color="auto" w:sz="6" w:space="0"/>
              <w:left w:val="single" w:color="auto" w:sz="6" w:space="0"/>
              <w:bottom w:val="single" w:color="auto" w:sz="6" w:space="0"/>
              <w:right w:val="single" w:color="auto" w:sz="6" w:space="0"/>
            </w:tcBorders>
            <w:tcW w:w="4051" w:type="dxa"/>
            <w:vAlign w:val="center"/>
            <w:textDirection w:val="lrTb"/>
            <w:noWrap w:val="false"/>
          </w:tcPr>
          <w:p>
            <w:pPr>
              <w:pStyle w:val="979"/>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2749" w:type="dxa"/>
            <w:vAlign w:val="center"/>
            <w:textDirection w:val="lrTb"/>
            <w:noWrap w:val="false"/>
          </w:tcPr>
          <w:p>
            <w:pPr>
              <w:pStyle w:val="979"/>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项目名称 </w:t>
            </w:r>
            <w:r/>
          </w:p>
        </w:tc>
        <w:tc>
          <w:tcPr>
            <w:tcBorders>
              <w:top w:val="single" w:color="auto" w:sz="6" w:space="0"/>
              <w:left w:val="single" w:color="auto" w:sz="6" w:space="0"/>
              <w:bottom w:val="single" w:color="auto" w:sz="6" w:space="0"/>
              <w:right w:val="single" w:color="auto" w:sz="6" w:space="0"/>
            </w:tcBorders>
            <w:tcW w:w="2651" w:type="dxa"/>
            <w:vAlign w:val="center"/>
            <w:textDirection w:val="lrTb"/>
            <w:noWrap w:val="false"/>
          </w:tcPr>
          <w:p>
            <w:pPr>
              <w:pStyle w:val="979"/>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详见响应文件</w:t>
            </w:r>
            <w:r/>
          </w:p>
        </w:tc>
        <w:tc>
          <w:tcPr>
            <w:tcBorders>
              <w:top w:val="single" w:color="auto" w:sz="6" w:space="0"/>
              <w:left w:val="single" w:color="auto" w:sz="6" w:space="0"/>
              <w:bottom w:val="single" w:color="auto" w:sz="6" w:space="0"/>
              <w:right w:val="single" w:color="auto" w:sz="6" w:space="0"/>
            </w:tcBorders>
            <w:tcW w:w="4051" w:type="dxa"/>
            <w:vAlign w:val="center"/>
            <w:textDirection w:val="lrTb"/>
            <w:noWrap w:val="false"/>
          </w:tcPr>
          <w:p>
            <w:pPr>
              <w:pStyle w:val="979"/>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2749" w:type="dxa"/>
            <w:vAlign w:val="center"/>
            <w:textDirection w:val="lrTb"/>
            <w:noWrap w:val="false"/>
          </w:tcPr>
          <w:p>
            <w:pPr>
              <w:pStyle w:val="979"/>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总价（大写）：</w:t>
            </w:r>
            <w:r/>
          </w:p>
        </w:tc>
        <w:tc>
          <w:tcPr>
            <w:gridSpan w:val="2"/>
            <w:tcBorders>
              <w:top w:val="single" w:color="auto" w:sz="6" w:space="0"/>
              <w:left w:val="single" w:color="auto" w:sz="6" w:space="0"/>
              <w:bottom w:val="single" w:color="auto" w:sz="6" w:space="0"/>
              <w:right w:val="single" w:color="auto" w:sz="6" w:space="0"/>
            </w:tcBorders>
            <w:tcW w:w="6732" w:type="dxa"/>
            <w:vAlign w:val="center"/>
            <w:textDirection w:val="lrTb"/>
            <w:noWrap w:val="false"/>
          </w:tcPr>
          <w:p>
            <w:pPr>
              <w:pStyle w:val="979"/>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金额大写 </w:t>
            </w:r>
            <w:r/>
          </w:p>
        </w:tc>
      </w:tr>
    </w:tbl>
    <w:p>
      <w:pPr>
        <w:pStyle w:val="979"/>
        <w:spacing w:line="240"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报价说明：</w:t>
      </w:r>
      <w:r/>
    </w:p>
    <w:p>
      <w:pPr>
        <w:pStyle w:val="97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pStyle w:val="97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2.报价以总价为准，大小写不一致以大写为准。</w:t>
      </w:r>
      <w:r/>
    </w:p>
    <w:p>
      <w:pPr>
        <w:pStyle w:val="97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3.偏离说明：详见《偏离表》。</w:t>
      </w:r>
      <w:r/>
    </w:p>
    <w:p>
      <w:pPr>
        <w:pStyle w:val="97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4.该表报价非本次磋商的最后报价。</w:t>
      </w:r>
      <w:r/>
    </w:p>
    <w:p>
      <w:pPr>
        <w:pStyle w:val="979"/>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p>
      <w:pPr>
        <w:pStyle w:val="979"/>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p>
      <w:pPr>
        <w:pStyle w:val="97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 </w:t>
      </w:r>
      <w:r/>
    </w:p>
    <w:p>
      <w:pPr>
        <w:pStyle w:val="979"/>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日期：  年  月   日</w:t>
      </w:r>
      <w:r/>
    </w:p>
    <w:p>
      <w:pPr>
        <w:pStyle w:val="979"/>
        <w:rPr>
          <w:color w:val="auto"/>
          <w:highlight w:val="none"/>
        </w:rPr>
      </w:pPr>
      <w:r>
        <w:rPr>
          <w:color w:val="auto"/>
          <w:highlight w:val="none"/>
        </w:rPr>
      </w:r>
      <w:r/>
    </w:p>
    <w:p>
      <w:pPr>
        <w:rPr>
          <w:color w:val="auto"/>
          <w:highlight w:val="none"/>
        </w:rPr>
      </w:pPr>
      <w:r>
        <w:rPr>
          <w:color w:val="auto"/>
          <w:highlight w:val="none"/>
        </w:rPr>
        <w:br w:type="page" w:clear="all"/>
      </w:r>
      <w:r/>
    </w:p>
    <w:p>
      <w:pPr>
        <w:pStyle w:val="991"/>
        <w:rPr>
          <w:color w:val="auto"/>
          <w:highlight w:val="none"/>
        </w:rPr>
        <w:sectPr>
          <w:footerReference w:type="default" r:id="rId14"/>
          <w:footerReference w:type="first" r:id="rId15"/>
          <w:footnotePr/>
          <w:endnotePr/>
          <w:type w:val="nextPage"/>
          <w:pgSz w:w="11906" w:h="16838" w:orient="portrait"/>
          <w:pgMar w:top="1015" w:right="1196" w:bottom="868" w:left="1259" w:header="851" w:footer="907" w:gutter="0"/>
          <w:cols w:num="1" w:sep="0" w:space="720" w:equalWidth="1"/>
          <w:docGrid w:linePitch="360"/>
          <w:titlePg/>
        </w:sectPr>
      </w:pPr>
      <w:r>
        <w:rPr>
          <w:color w:val="auto"/>
          <w:highlight w:val="none"/>
        </w:rPr>
      </w:r>
      <w:r/>
    </w:p>
    <w:p>
      <w:pPr>
        <w:ind w:firstLine="3935"/>
        <w:rPr>
          <w:rFonts w:ascii="黑体" w:hAnsi="黑体" w:eastAsia="黑体" w:cs="宋体"/>
          <w:bCs/>
          <w:color w:val="auto"/>
          <w:sz w:val="28"/>
          <w:szCs w:val="28"/>
          <w:highlight w:val="none"/>
        </w:rPr>
      </w:pPr>
      <w:r>
        <w:rPr>
          <w:rFonts w:hint="eastAsia" w:ascii="黑体" w:hAnsi="黑体" w:eastAsia="黑体" w:cs="宋体"/>
          <w:bCs/>
          <w:color w:val="auto"/>
          <w:sz w:val="28"/>
          <w:szCs w:val="28"/>
          <w:highlight w:val="none"/>
        </w:rPr>
        <w:t xml:space="preserve">报价明细表</w:t>
      </w:r>
      <w:r/>
    </w:p>
    <w:p>
      <w:pPr>
        <w:jc w:val="center"/>
        <w:spacing w:after="0" w:line="580" w:lineRule="exact"/>
        <w:rPr>
          <w:rFonts w:hint="eastAsia"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t xml:space="preserve">一、人民广场绿雕</w:t>
      </w:r>
      <w:r/>
    </w:p>
    <w:tbl>
      <w:tblPr>
        <w:tblStyle w:val="975"/>
        <w:tblW w:w="10104" w:type="dxa"/>
        <w:jc w:val="center"/>
        <w:tblLayout w:type="fixed"/>
        <w:tblCellMar>
          <w:left w:w="108" w:type="dxa"/>
          <w:top w:w="0" w:type="dxa"/>
          <w:right w:w="108" w:type="dxa"/>
          <w:bottom w:w="0" w:type="dxa"/>
        </w:tblCellMar>
        <w:tblLook w:val="04A0" w:firstRow="1" w:lastRow="0" w:firstColumn="1" w:lastColumn="0" w:noHBand="0" w:noVBand="1"/>
      </w:tblPr>
      <w:tblGrid>
        <w:gridCol w:w="521"/>
        <w:gridCol w:w="851"/>
        <w:gridCol w:w="63"/>
        <w:gridCol w:w="787"/>
        <w:gridCol w:w="620"/>
        <w:gridCol w:w="810"/>
        <w:gridCol w:w="41"/>
        <w:gridCol w:w="951"/>
        <w:gridCol w:w="5460"/>
      </w:tblGrid>
      <w:tr>
        <w:trPr>
          <w:jc w:val="center"/>
          <w:trHeight w:val="650"/>
        </w:trPr>
        <w:tc>
          <w:tcPr>
            <w:shd w:val="clear" w:color="auto" w:fill="auto"/>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after="0" w:line="3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gridSpan w:val="3"/>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0" w:line="3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工作内容</w:t>
            </w:r>
            <w:r/>
          </w:p>
        </w:tc>
        <w:tc>
          <w:tcPr>
            <w:shd w:val="clear" w:color="auto" w:fill="auto"/>
            <w:tcBorders>
              <w:top w:val="single" w:color="auto" w:sz="4" w:space="0"/>
              <w:left w:val="single" w:color="auto" w:sz="4" w:space="0"/>
              <w:bottom w:val="single" w:color="auto" w:sz="4" w:space="0"/>
              <w:right w:val="single" w:color="auto" w:sz="4" w:space="0"/>
            </w:tcBorders>
            <w:tcW w:w="620" w:type="dxa"/>
            <w:vAlign w:val="center"/>
            <w:textDirection w:val="lrTb"/>
            <w:noWrap w:val="false"/>
          </w:tcPr>
          <w:p>
            <w:pPr>
              <w:jc w:val="center"/>
              <w:spacing w:after="0" w:line="3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单位</w:t>
            </w:r>
            <w:r/>
          </w:p>
        </w:tc>
        <w:tc>
          <w:tcPr>
            <w:gridSpan w:val="2"/>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3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spacing w:after="0" w:line="3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投标</w:t>
            </w:r>
            <w:r/>
          </w:p>
          <w:p>
            <w:pPr>
              <w:jc w:val="center"/>
              <w:spacing w:after="0" w:line="3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报价</w:t>
            </w:r>
            <w:r/>
          </w:p>
          <w:p>
            <w:pPr>
              <w:jc w:val="center"/>
              <w:spacing w:after="0" w:line="3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（元）</w:t>
            </w:r>
            <w:r/>
          </w:p>
        </w:tc>
        <w:tc>
          <w:tcPr>
            <w:shd w:val="clear" w:color="auto" w:fill="auto"/>
            <w:tcBorders>
              <w:top w:val="single" w:color="auto" w:sz="4" w:space="0"/>
              <w:left w:val="single" w:color="auto" w:sz="4" w:space="0"/>
              <w:bottom w:val="single" w:color="auto" w:sz="4" w:space="0"/>
              <w:right w:val="single" w:color="auto" w:sz="4" w:space="0"/>
            </w:tcBorders>
            <w:tcW w:w="5460" w:type="dxa"/>
            <w:vAlign w:val="center"/>
            <w:textDirection w:val="lrTb"/>
            <w:noWrap w:val="false"/>
          </w:tcPr>
          <w:p>
            <w:pPr>
              <w:jc w:val="center"/>
              <w:spacing w:after="0" w:line="3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相关要求</w:t>
            </w:r>
            <w:r/>
          </w:p>
        </w:tc>
      </w:tr>
      <w:tr>
        <w:trPr>
          <w:jc w:val="center"/>
          <w:trHeight w:val="3969"/>
        </w:trPr>
        <w:tc>
          <w:tcPr>
            <w:shd w:val="clear" w:color="auto" w:fill="auto"/>
            <w:tcBorders>
              <w:top w:val="single" w:color="auto" w:sz="4" w:space="0"/>
              <w:left w:val="single" w:color="000000" w:sz="4" w:space="0"/>
              <w:bottom w:val="single" w:color="000000" w:sz="4" w:space="0"/>
              <w:right w:val="single" w:color="000000" w:sz="4" w:space="0"/>
            </w:tcBorders>
            <w:tcW w:w="521" w:type="dxa"/>
            <w:vAlign w:val="center"/>
            <w:textDirection w:val="lrTb"/>
            <w:noWrap w:val="false"/>
          </w:tcPr>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gridSpan w:val="3"/>
            <w:shd w:val="clear" w:color="auto" w:fill="auto"/>
            <w:tcBorders>
              <w:top w:val="single" w:color="auto" w:sz="4" w:space="0"/>
              <w:left w:val="single" w:color="000000" w:sz="4" w:space="0"/>
              <w:bottom w:val="single" w:color="000000" w:sz="4" w:space="0"/>
              <w:right w:val="single" w:color="auto" w:sz="4" w:space="0"/>
            </w:tcBorders>
            <w:tcW w:w="1701" w:type="dxa"/>
            <w:vAlign w:val="center"/>
            <w:textDirection w:val="lrTb"/>
            <w:noWrap w:val="false"/>
          </w:tcPr>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绿雕主体钢结构加固（国旗加固）</w:t>
            </w:r>
            <w:r/>
          </w:p>
        </w:tc>
        <w:tc>
          <w:tcPr>
            <w:shd w:val="clear" w:color="auto" w:fill="auto"/>
            <w:tcBorders>
              <w:top w:val="single" w:color="auto" w:sz="4" w:space="0"/>
              <w:left w:val="single" w:color="auto" w:sz="4" w:space="0"/>
              <w:bottom w:val="single" w:color="000000" w:sz="4" w:space="0"/>
              <w:right w:val="single" w:color="000000" w:sz="4" w:space="0"/>
            </w:tcBorders>
            <w:tcW w:w="620" w:type="dxa"/>
            <w:vAlign w:val="center"/>
            <w:textDirection w:val="lrTb"/>
            <w:noWrap w:val="false"/>
          </w:tcPr>
          <w:p>
            <w:pPr>
              <w:jc w:val="center"/>
              <w:spacing w:after="0"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w:t>
            </w:r>
            <w:r/>
          </w:p>
        </w:tc>
        <w:tc>
          <w:tcPr>
            <w:gridSpan w:val="2"/>
            <w:shd w:val="clear" w:color="auto" w:fill="auto"/>
            <w:tcBorders>
              <w:top w:val="single" w:color="auto" w:sz="4" w:space="0"/>
              <w:left w:val="single" w:color="000000" w:sz="4" w:space="0"/>
              <w:bottom w:val="single" w:color="000000" w:sz="4" w:space="0"/>
              <w:right w:val="single" w:color="auto" w:sz="4" w:space="0"/>
            </w:tcBorders>
            <w:tcW w:w="851" w:type="dxa"/>
            <w:vAlign w:val="center"/>
            <w:textDirection w:val="lrTb"/>
            <w:noWrap w:val="false"/>
          </w:tcPr>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auto" w:fill="auto"/>
            <w:tcBorders>
              <w:top w:val="single" w:color="auto" w:sz="4" w:space="0"/>
              <w:left w:val="single" w:color="auto" w:sz="4" w:space="0"/>
              <w:bottom w:val="single" w:color="000000" w:sz="4" w:space="0"/>
              <w:right w:val="single" w:color="000000" w:sz="4" w:space="0"/>
            </w:tcBorders>
            <w:tcW w:w="951" w:type="dxa"/>
            <w:vAlign w:val="center"/>
            <w:textDirection w:val="lrTb"/>
            <w:noWrap w:val="false"/>
          </w:tcPr>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auto" w:sz="4" w:space="0"/>
              <w:left w:val="single" w:color="000000" w:sz="4" w:space="0"/>
              <w:bottom w:val="single" w:color="000000" w:sz="4" w:space="0"/>
              <w:right w:val="single" w:color="000000" w:sz="4" w:space="0"/>
            </w:tcBorders>
            <w:tcW w:w="5460" w:type="dxa"/>
            <w:vAlign w:val="center"/>
            <w:textDirection w:val="lrTb"/>
            <w:noWrap w:val="false"/>
          </w:tcPr>
          <w:p>
            <w:pPr>
              <w:spacing w:after="0"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（1）主体钢结构加固：加固主体钢结构（国旗）和小品钢结构（银杏叶），定期除锈防锈，每</w:t>
            </w:r>
            <w:r>
              <w:rPr>
                <w:rFonts w:hint="eastAsia" w:ascii="宋体" w:hAnsi="宋体" w:eastAsia="宋体" w:cs="宋体"/>
                <w:bCs/>
                <w:strike w:val="0"/>
                <w:color w:val="auto"/>
                <w:szCs w:val="21"/>
                <w:highlight w:val="none"/>
                <w:lang w:val="en-US" w:eastAsia="zh-CN"/>
              </w:rPr>
              <w:t xml:space="preserve">月</w:t>
            </w:r>
            <w:r>
              <w:rPr>
                <w:rFonts w:hint="eastAsia" w:ascii="宋体" w:hAnsi="宋体" w:eastAsia="宋体" w:cs="宋体"/>
                <w:bCs/>
                <w:color w:val="auto"/>
                <w:szCs w:val="21"/>
                <w:highlight w:val="none"/>
              </w:rPr>
              <w:t xml:space="preserve">全面检查钢结构焊缝、节点及基层漆面，发现锈蚀立即手工或机械打磨除锈至金属本色，并涂刷环氧富锌底漆+丙烯酸聚氨酯面漆。</w:t>
            </w:r>
            <w:r/>
          </w:p>
          <w:p>
            <w:pPr>
              <w:spacing w:after="0"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（2）整体出新：每年至少1次对</w:t>
            </w:r>
            <w:r>
              <w:rPr>
                <w:rFonts w:hint="eastAsia" w:ascii="宋体" w:hAnsi="宋体" w:eastAsia="宋体" w:cs="宋体"/>
                <w:color w:val="auto"/>
                <w:szCs w:val="21"/>
                <w:highlight w:val="none"/>
              </w:rPr>
              <w:t xml:space="preserve">国旗正、反两面整体油漆出新。</w:t>
            </w:r>
            <w:r>
              <w:rPr>
                <w:rFonts w:hint="eastAsia" w:ascii="宋体" w:hAnsi="宋体" w:eastAsia="宋体" w:cs="宋体"/>
                <w:bCs/>
                <w:color w:val="auto"/>
                <w:szCs w:val="21"/>
                <w:highlight w:val="none"/>
              </w:rPr>
              <w:t xml:space="preserve">观感不佳、变形、褪色或剥落超20%的区域需整体重新搭建、涂装，形态、颜色保持与原设计一致。</w:t>
            </w:r>
            <w:r/>
          </w:p>
          <w:p>
            <w:pP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（3）五角星更换：每年至少1次按原尺寸、原标准、原材质更换五角星，确保颜色和尺寸比例符合国旗规范。</w:t>
            </w:r>
            <w:r/>
          </w:p>
          <w:p>
            <w:pPr>
              <w:spacing w:after="0" w:line="320" w:lineRule="exac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（4）结构安全性防护：每月</w:t>
            </w:r>
            <w:r>
              <w:rPr>
                <w:rFonts w:hint="eastAsia" w:ascii="宋体" w:hAnsi="宋体" w:cs="宋体"/>
                <w:bCs/>
                <w:color w:val="auto"/>
                <w:szCs w:val="21"/>
                <w:highlight w:val="none"/>
                <w:lang w:val="en-US" w:eastAsia="zh-CN"/>
              </w:rPr>
              <w:t xml:space="preserve">应邀请相关专业人员</w:t>
            </w:r>
            <w:r>
              <w:rPr>
                <w:rFonts w:hint="eastAsia" w:ascii="宋体" w:hAnsi="宋体" w:eastAsia="宋体" w:cs="宋体"/>
                <w:bCs/>
                <w:color w:val="auto"/>
                <w:szCs w:val="21"/>
                <w:highlight w:val="none"/>
              </w:rPr>
              <w:t xml:space="preserve">检查</w:t>
            </w:r>
            <w:r>
              <w:rPr>
                <w:rFonts w:hint="eastAsia" w:ascii="宋体" w:hAnsi="宋体" w:cs="宋体"/>
                <w:bCs/>
                <w:color w:val="auto"/>
                <w:szCs w:val="21"/>
                <w:highlight w:val="none"/>
                <w:lang w:val="en-US" w:eastAsia="zh-CN"/>
              </w:rPr>
              <w:t xml:space="preserve">主体结构</w:t>
            </w:r>
            <w:r>
              <w:rPr>
                <w:rFonts w:hint="eastAsia" w:ascii="宋体" w:hAnsi="宋体" w:eastAsia="宋体" w:cs="宋体"/>
                <w:bCs/>
                <w:color w:val="auto"/>
                <w:szCs w:val="21"/>
                <w:highlight w:val="none"/>
              </w:rPr>
              <w:t xml:space="preserve">变形、松动情况</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确保主体结构无安全隐患</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检查结论须有相关专家签字确认。</w:t>
            </w:r>
            <w:r/>
          </w:p>
        </w:tc>
      </w:tr>
      <w:tr>
        <w:trPr>
          <w:jc w:val="center"/>
          <w:trHeight w:val="735"/>
        </w:trPr>
        <w:tc>
          <w:tcPr>
            <w:shd w:val="clear" w:color="auto" w:fill="auto"/>
            <w:tcBorders>
              <w:top w:val="single" w:color="auto" w:sz="4" w:space="0"/>
              <w:left w:val="single" w:color="000000" w:sz="4" w:space="0"/>
              <w:bottom w:val="single" w:color="000000" w:sz="4" w:space="0"/>
              <w:right w:val="single" w:color="000000" w:sz="4" w:space="0"/>
            </w:tcBorders>
            <w:tcW w:w="521" w:type="dxa"/>
            <w:vAlign w:val="center"/>
            <w:textDirection w:val="lrTb"/>
            <w:noWrap w:val="false"/>
          </w:tcPr>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gridSpan w:val="3"/>
            <w:shd w:val="clear" w:color="auto" w:fill="auto"/>
            <w:tcBorders>
              <w:top w:val="single" w:color="auto" w:sz="4" w:space="0"/>
              <w:left w:val="single" w:color="000000" w:sz="4" w:space="0"/>
              <w:bottom w:val="single" w:color="000000" w:sz="4" w:space="0"/>
              <w:right w:val="single" w:color="auto" w:sz="4" w:space="0"/>
            </w:tcBorders>
            <w:tcW w:w="170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绿雕表面仿真</w:t>
            </w:r>
            <w:r/>
          </w:p>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绿植更换</w:t>
            </w:r>
            <w:r/>
          </w:p>
        </w:tc>
        <w:tc>
          <w:tcPr>
            <w:shd w:val="clear" w:color="auto" w:fill="auto"/>
            <w:tcBorders>
              <w:top w:val="single" w:color="auto" w:sz="4" w:space="0"/>
              <w:left w:val="single" w:color="auto" w:sz="4" w:space="0"/>
              <w:bottom w:val="single" w:color="000000" w:sz="4" w:space="0"/>
              <w:right w:val="single" w:color="000000" w:sz="4" w:space="0"/>
            </w:tcBorders>
            <w:tcW w:w="620" w:type="dxa"/>
            <w:vAlign w:val="center"/>
            <w:textDirection w:val="lrTb"/>
            <w:noWrap w:val="false"/>
          </w:tcPr>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m²</w:t>
            </w:r>
            <w:r/>
          </w:p>
        </w:tc>
        <w:tc>
          <w:tcPr>
            <w:gridSpan w:val="2"/>
            <w:shd w:val="clear" w:color="auto" w:fill="auto"/>
            <w:tcBorders>
              <w:top w:val="single" w:color="auto" w:sz="4" w:space="0"/>
              <w:left w:val="single" w:color="000000" w:sz="4" w:space="0"/>
              <w:bottom w:val="single" w:color="000000" w:sz="4" w:space="0"/>
              <w:right w:val="single" w:color="auto" w:sz="4" w:space="0"/>
            </w:tcBorders>
            <w:tcW w:w="851" w:type="dxa"/>
            <w:vAlign w:val="center"/>
            <w:textDirection w:val="lrTb"/>
            <w:noWrap w:val="false"/>
          </w:tcPr>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370</w:t>
            </w:r>
            <w:r/>
          </w:p>
        </w:tc>
        <w:tc>
          <w:tcPr>
            <w:shd w:val="clear" w:color="auto" w:fill="auto"/>
            <w:tcBorders>
              <w:top w:val="single" w:color="auto" w:sz="4" w:space="0"/>
              <w:left w:val="single" w:color="auto" w:sz="4" w:space="0"/>
              <w:bottom w:val="single" w:color="000000" w:sz="4" w:space="0"/>
              <w:right w:val="single" w:color="000000" w:sz="4" w:space="0"/>
            </w:tcBorders>
            <w:tcW w:w="951" w:type="dxa"/>
            <w:vAlign w:val="center"/>
            <w:textDirection w:val="lrTb"/>
            <w:noWrap w:val="false"/>
          </w:tcPr>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auto" w:sz="4" w:space="0"/>
              <w:left w:val="single" w:color="000000" w:sz="4" w:space="0"/>
              <w:bottom w:val="single" w:color="000000" w:sz="4" w:space="0"/>
              <w:right w:val="single" w:color="000000" w:sz="4" w:space="0"/>
            </w:tcBorders>
            <w:tcW w:w="5460" w:type="dxa"/>
            <w:vAlign w:val="center"/>
            <w:textDirection w:val="lrTb"/>
            <w:noWrap w:val="false"/>
          </w:tcPr>
          <w:p>
            <w:pPr>
              <w:ind w:firstLine="105"/>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合同期内，按照采购人要求对绿雕和小品表面仿真绿植更换至少1次，并做好日常保养和维修。</w:t>
            </w:r>
            <w:r>
              <w:rPr>
                <w:rFonts w:hint="eastAsia" w:ascii="宋体" w:hAnsi="宋体" w:eastAsia="宋体" w:cs="宋体"/>
                <w:color w:val="auto"/>
                <w:highlight w:val="none"/>
                <w:lang w:val="en-US" w:eastAsia="zh-CN"/>
              </w:rPr>
              <w:t xml:space="preserve">发现损坏或缺失的应当2日内维修到位。</w:t>
            </w:r>
            <w:r/>
          </w:p>
        </w:tc>
      </w:tr>
      <w:tr>
        <w:trPr>
          <w:jc w:val="center"/>
          <w:trHeight w:val="3429"/>
        </w:trPr>
        <w:tc>
          <w:tcPr>
            <w:shd w:val="clear" w:color="auto" w:fill="auto"/>
            <w:tcBorders>
              <w:top w:val="single" w:color="auto" w:sz="4" w:space="0"/>
              <w:left w:val="single" w:color="000000" w:sz="4" w:space="0"/>
              <w:right w:val="single" w:color="000000" w:sz="4" w:space="0"/>
            </w:tcBorders>
            <w:tcW w:w="521" w:type="dxa"/>
            <w:vAlign w:val="center"/>
            <w:vMerge w:val="restart"/>
            <w:textDirection w:val="lrTb"/>
            <w:noWrap w:val="false"/>
          </w:tcPr>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shd w:val="clear" w:color="auto" w:fill="auto"/>
            <w:tcBorders>
              <w:top w:val="single" w:color="auto" w:sz="4" w:space="0"/>
              <w:left w:val="single" w:color="000000" w:sz="4" w:space="0"/>
              <w:right w:val="single" w:color="auto" w:sz="4" w:space="0"/>
            </w:tcBorders>
            <w:tcW w:w="851" w:type="dxa"/>
            <w:vAlign w:val="center"/>
            <w:vMerge w:val="restart"/>
            <w:textDirection w:val="lrTb"/>
            <w:noWrap w:val="false"/>
          </w:tcPr>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地面花</w:t>
            </w:r>
            <w:r/>
          </w:p>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镜养护</w:t>
            </w:r>
            <w:r/>
          </w:p>
        </w:tc>
        <w:tc>
          <w:tcPr>
            <w:gridSpan w:val="2"/>
            <w:shd w:val="clear" w:color="auto" w:fill="auto"/>
            <w:tcBorders>
              <w:top w:val="single" w:color="auto" w:sz="4" w:space="0"/>
              <w:left w:val="single" w:color="000000" w:sz="4" w:space="0"/>
              <w:bottom w:val="single" w:color="auto" w:sz="4" w:space="0"/>
              <w:right w:val="single" w:color="auto" w:sz="4" w:space="0"/>
            </w:tcBorders>
            <w:tcW w:w="850" w:type="dxa"/>
            <w:vAlign w:val="center"/>
            <w:textDirection w:val="lrTb"/>
            <w:noWrap w:val="false"/>
          </w:tcPr>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草花</w:t>
            </w:r>
            <w:r/>
          </w:p>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更换</w:t>
            </w:r>
            <w:r/>
          </w:p>
        </w:tc>
        <w:tc>
          <w:tcPr>
            <w:shd w:val="clear" w:color="auto" w:fill="auto"/>
            <w:tcBorders>
              <w:top w:val="single" w:color="auto" w:sz="4" w:space="0"/>
              <w:left w:val="single" w:color="auto" w:sz="4" w:space="0"/>
              <w:bottom w:val="single" w:color="auto" w:sz="4" w:space="0"/>
              <w:right w:val="single" w:color="000000" w:sz="4" w:space="0"/>
            </w:tcBorders>
            <w:tcW w:w="620" w:type="dxa"/>
            <w:vAlign w:val="center"/>
            <w:textDirection w:val="lrTb"/>
            <w:noWrap w:val="false"/>
          </w:tcPr>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m²</w:t>
            </w:r>
            <w:r/>
          </w:p>
        </w:tc>
        <w:tc>
          <w:tcPr>
            <w:gridSpan w:val="2"/>
            <w:shd w:val="clear" w:color="auto" w:fill="auto"/>
            <w:tcBorders>
              <w:top w:val="single" w:color="auto" w:sz="4" w:space="0"/>
              <w:left w:val="single" w:color="000000" w:sz="4" w:space="0"/>
              <w:bottom w:val="single" w:color="auto" w:sz="4" w:space="0"/>
              <w:right w:val="single" w:color="auto" w:sz="4" w:space="0"/>
            </w:tcBorders>
            <w:tcW w:w="851" w:type="dxa"/>
            <w:vAlign w:val="center"/>
            <w:textDirection w:val="lrTb"/>
            <w:noWrap w:val="false"/>
          </w:tcPr>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360</w:t>
            </w:r>
            <w:r/>
          </w:p>
        </w:tc>
        <w:tc>
          <w:tcPr>
            <w:shd w:val="clear" w:color="auto" w:fill="auto"/>
            <w:tcBorders>
              <w:top w:val="single" w:color="auto" w:sz="4" w:space="0"/>
              <w:left w:val="single" w:color="auto" w:sz="4" w:space="0"/>
              <w:bottom w:val="single" w:color="auto" w:sz="4" w:space="0"/>
              <w:right w:val="single" w:color="000000" w:sz="4" w:space="0"/>
            </w:tcBorders>
            <w:tcW w:w="951" w:type="dxa"/>
            <w:vAlign w:val="center"/>
            <w:textDirection w:val="lrTb"/>
            <w:noWrap w:val="false"/>
          </w:tcPr>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auto" w:sz="4" w:space="0"/>
              <w:left w:val="single" w:color="000000" w:sz="4" w:space="0"/>
              <w:right w:val="single" w:color="000000" w:sz="4" w:space="0"/>
            </w:tcBorders>
            <w:tcW w:w="5460" w:type="dxa"/>
            <w:vAlign w:val="center"/>
            <w:vMerge w:val="restart"/>
            <w:textDirection w:val="lrTb"/>
            <w:noWrap w:val="false"/>
          </w:tcPr>
          <w:p>
            <w:pPr>
              <w:ind w:firstLine="105"/>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（1）全年更换时令草花至少4次，所有时令草花盆径12cm以上，至少64盆/平方米，须满铺，脱盆栽植。绿雕整体换草至少2次。</w:t>
            </w:r>
            <w:r/>
          </w:p>
          <w:p>
            <w:pPr>
              <w:ind w:firstLine="105"/>
              <w:spacing w:after="0"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（2）植物品质：选用高品质容器苗或地栽健壮苗，无病虫害。景观节点需有造型植物或彩叶针叶树作为焦点。</w:t>
            </w:r>
            <w:r/>
          </w:p>
          <w:p>
            <w:pPr>
              <w:ind w:firstLine="210"/>
              <w:spacing w:after="0"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（3）层次与季相：形成背景层（小乔木/灌木）、 中层（中高花卉/观赏草）、 前景层（低矮花卉/地被） 三个层次。确保四季有花。</w:t>
            </w:r>
            <w:r/>
          </w:p>
          <w:p>
            <w:pPr>
              <w:ind w:firstLine="210"/>
              <w:spacing w:after="0"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（4）宿根植物比例：多年生宿根植物（如大花飞燕草、火炬花、矾根等）占比不低于50%，保持群落稳定。</w:t>
            </w:r>
            <w:r/>
          </w:p>
          <w:p>
            <w:pPr>
              <w:ind w:firstLine="210"/>
              <w:spacing w:after="0"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（5）精细化养护：及时清理残花枯叶，根据季节控制水肥，定期梳理植物间距避免过密。主要花坛边缘需有装饰围边或收边植物。裸露地表用树皮、松鳞、火山石等覆盖物处理。</w:t>
            </w:r>
            <w:r/>
          </w:p>
          <w:p>
            <w:pPr>
              <w:ind w:firstLine="210"/>
              <w:spacing w:after="0" w:line="320" w:lineRule="exact"/>
              <w:rPr>
                <w:rFonts w:hint="eastAsia" w:ascii="宋体" w:hAnsi="宋体" w:eastAsia="宋体" w:cs="宋体"/>
                <w:color w:val="auto"/>
                <w:szCs w:val="21"/>
                <w:highlight w:val="none"/>
                <w:lang w:eastAsia="zh-CN"/>
              </w:rPr>
            </w:pPr>
            <w:r>
              <w:rPr>
                <w:rFonts w:hint="eastAsia" w:ascii="宋体" w:hAnsi="宋体" w:eastAsia="宋体" w:cs="宋体"/>
                <w:bCs/>
                <w:color w:val="auto"/>
                <w:szCs w:val="21"/>
                <w:highlight w:val="none"/>
              </w:rPr>
              <w:t xml:space="preserve">（6）植株覆盖率大于80%，不得出现裸土</w:t>
            </w:r>
            <w:r>
              <w:rPr>
                <w:rFonts w:hint="eastAsia" w:ascii="宋体" w:hAnsi="宋体" w:cs="宋体"/>
                <w:bCs/>
                <w:color w:val="auto"/>
                <w:szCs w:val="21"/>
                <w:highlight w:val="none"/>
                <w:lang w:eastAsia="zh-CN"/>
              </w:rPr>
              <w:t xml:space="preserve">。</w:t>
            </w:r>
            <w:r/>
          </w:p>
        </w:tc>
      </w:tr>
      <w:tr>
        <w:trPr>
          <w:jc w:val="center"/>
          <w:trHeight w:val="737"/>
        </w:trPr>
        <w:tc>
          <w:tcPr>
            <w:shd w:val="clear" w:color="auto" w:fill="auto"/>
            <w:tcBorders>
              <w:left w:val="single" w:color="000000" w:sz="4" w:space="0"/>
              <w:bottom w:val="single" w:color="000000" w:sz="4" w:space="0"/>
              <w:right w:val="single" w:color="000000" w:sz="4" w:space="0"/>
            </w:tcBorders>
            <w:tcW w:w="521" w:type="dxa"/>
            <w:vAlign w:val="center"/>
            <w:vMerge w:val="continue"/>
            <w:textDirection w:val="lrTb"/>
            <w:noWrap w:val="false"/>
          </w:tcPr>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left w:val="single" w:color="000000" w:sz="4" w:space="0"/>
              <w:bottom w:val="single" w:color="000000" w:sz="4" w:space="0"/>
              <w:right w:val="single" w:color="auto" w:sz="4" w:space="0"/>
            </w:tcBorders>
            <w:tcW w:w="851" w:type="dxa"/>
            <w:vAlign w:val="center"/>
            <w:vMerge w:val="continue"/>
            <w:textDirection w:val="lrTb"/>
            <w:noWrap w:val="false"/>
          </w:tcPr>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shd w:val="clear" w:color="auto" w:fill="auto"/>
            <w:tcBorders>
              <w:top w:val="single" w:color="auto" w:sz="4" w:space="0"/>
              <w:left w:val="single" w:color="000000" w:sz="4" w:space="0"/>
              <w:bottom w:val="single" w:color="000000" w:sz="4" w:space="0"/>
              <w:right w:val="single" w:color="auto" w:sz="4" w:space="0"/>
            </w:tcBorders>
            <w:tcW w:w="850" w:type="dxa"/>
            <w:vAlign w:val="center"/>
            <w:textDirection w:val="lrTb"/>
            <w:noWrap w:val="false"/>
          </w:tcPr>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绿雕</w:t>
            </w:r>
            <w:r/>
          </w:p>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换草</w:t>
            </w:r>
            <w:r/>
          </w:p>
        </w:tc>
        <w:tc>
          <w:tcPr>
            <w:shd w:val="clear" w:color="auto" w:fill="auto"/>
            <w:tcBorders>
              <w:top w:val="single" w:color="auto" w:sz="4" w:space="0"/>
              <w:left w:val="single" w:color="auto" w:sz="4" w:space="0"/>
              <w:bottom w:val="single" w:color="000000" w:sz="4" w:space="0"/>
              <w:right w:val="single" w:color="000000" w:sz="4" w:space="0"/>
            </w:tcBorders>
            <w:tcW w:w="620" w:type="dxa"/>
            <w:vAlign w:val="center"/>
            <w:textDirection w:val="lrTb"/>
            <w:noWrap w:val="false"/>
          </w:tcPr>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m²</w:t>
            </w:r>
            <w:r/>
          </w:p>
        </w:tc>
        <w:tc>
          <w:tcPr>
            <w:gridSpan w:val="2"/>
            <w:shd w:val="clear" w:color="auto" w:fill="auto"/>
            <w:tcBorders>
              <w:top w:val="single" w:color="auto" w:sz="4" w:space="0"/>
              <w:left w:val="single" w:color="000000" w:sz="4" w:space="0"/>
              <w:bottom w:val="single" w:color="000000" w:sz="4" w:space="0"/>
              <w:right w:val="single" w:color="auto" w:sz="4" w:space="0"/>
            </w:tcBorders>
            <w:tcW w:w="851" w:type="dxa"/>
            <w:vAlign w:val="center"/>
            <w:textDirection w:val="lrTb"/>
            <w:noWrap w:val="false"/>
          </w:tcPr>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190</w:t>
            </w:r>
            <w:r/>
          </w:p>
        </w:tc>
        <w:tc>
          <w:tcPr>
            <w:shd w:val="clear" w:color="auto" w:fill="auto"/>
            <w:tcBorders>
              <w:top w:val="single" w:color="auto" w:sz="4" w:space="0"/>
              <w:left w:val="single" w:color="auto" w:sz="4" w:space="0"/>
              <w:bottom w:val="single" w:color="000000" w:sz="4" w:space="0"/>
              <w:right w:val="single" w:color="000000" w:sz="4" w:space="0"/>
            </w:tcBorders>
            <w:tcW w:w="951" w:type="dxa"/>
            <w:vAlign w:val="center"/>
            <w:textDirection w:val="lrTb"/>
            <w:noWrap w:val="false"/>
          </w:tcPr>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left w:val="single" w:color="000000" w:sz="4" w:space="0"/>
              <w:bottom w:val="single" w:color="000000" w:sz="4" w:space="0"/>
              <w:right w:val="single" w:color="000000" w:sz="4" w:space="0"/>
            </w:tcBorders>
            <w:tcW w:w="5460" w:type="dxa"/>
            <w:vAlign w:val="center"/>
            <w:vMerge w:val="continue"/>
            <w:textDirection w:val="lrTb"/>
            <w:noWrap w:val="false"/>
          </w:tcPr>
          <w:p>
            <w:pP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879"/>
        </w:trPr>
        <w:tc>
          <w:tcPr>
            <w:shd w:val="clear" w:color="auto" w:fill="auto"/>
            <w:tcBorders>
              <w:top w:val="single" w:color="000000" w:sz="4" w:space="0"/>
              <w:left w:val="single" w:color="000000" w:sz="4" w:space="0"/>
              <w:bottom w:val="single" w:color="auto" w:sz="4" w:space="0"/>
              <w:right w:val="single" w:color="000000" w:sz="4" w:space="0"/>
            </w:tcBorders>
            <w:tcW w:w="52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gridSpan w:val="3"/>
            <w:shd w:val="clear" w:color="auto" w:fill="auto"/>
            <w:tcBorders>
              <w:top w:val="single" w:color="000000" w:sz="4" w:space="0"/>
              <w:left w:val="single" w:color="000000" w:sz="4" w:space="0"/>
              <w:bottom w:val="single" w:color="auto" w:sz="4" w:space="0"/>
              <w:right w:val="single" w:color="auto" w:sz="4" w:space="0"/>
            </w:tcBorders>
            <w:tcW w:w="170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亮化维护</w:t>
            </w:r>
            <w:r/>
          </w:p>
        </w:tc>
        <w:tc>
          <w:tcPr>
            <w:shd w:val="clear" w:color="auto" w:fill="auto"/>
            <w:tcBorders>
              <w:top w:val="single" w:color="000000" w:sz="4" w:space="0"/>
              <w:left w:val="single" w:color="auto" w:sz="4" w:space="0"/>
              <w:bottom w:val="single" w:color="auto" w:sz="4" w:space="0"/>
              <w:right w:val="single" w:color="000000" w:sz="4" w:space="0"/>
            </w:tcBorders>
            <w:tcW w:w="620"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项</w:t>
            </w:r>
            <w:r/>
          </w:p>
        </w:tc>
        <w:tc>
          <w:tcPr>
            <w:gridSpan w:val="2"/>
            <w:shd w:val="clear" w:color="auto" w:fill="auto"/>
            <w:tcBorders>
              <w:top w:val="single" w:color="000000" w:sz="4" w:space="0"/>
              <w:left w:val="single" w:color="000000" w:sz="4" w:space="0"/>
              <w:bottom w:val="single" w:color="auto" w:sz="4" w:space="0"/>
              <w:right w:val="single" w:color="auto" w:sz="4" w:space="0"/>
            </w:tcBorders>
            <w:tcW w:w="85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auto" w:sz="4" w:space="0"/>
              <w:bottom w:val="single" w:color="auto" w:sz="4" w:space="0"/>
              <w:right w:val="single" w:color="000000" w:sz="4" w:space="0"/>
            </w:tcBorders>
            <w:tcW w:w="95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auto" w:sz="4" w:space="0"/>
              <w:right w:val="single" w:color="000000" w:sz="4" w:space="0"/>
            </w:tcBorders>
            <w:tcW w:w="5460" w:type="dxa"/>
            <w:vAlign w:val="center"/>
            <w:textDirection w:val="lrTb"/>
            <w:noWrap w:val="false"/>
          </w:tcPr>
          <w:p>
            <w:pPr>
              <w:ind w:firstLine="210"/>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所有的亮化及灯带应按环保节能要求重新更换，并做好日常维护。凡有灯带、电缆线损坏、缺失等，须第一时间维修、更换。包括上述项目范围内绿雕、绿柱、绿墙等。</w:t>
            </w:r>
            <w:r/>
          </w:p>
        </w:tc>
      </w:tr>
      <w:tr>
        <w:trPr>
          <w:jc w:val="center"/>
          <w:trHeight w:val="1940"/>
        </w:trPr>
        <w:tc>
          <w:tcPr>
            <w:shd w:val="clear" w:color="auto" w:fill="auto"/>
            <w:tcBorders>
              <w:top w:val="single" w:color="000000" w:sz="4" w:space="0"/>
              <w:left w:val="single" w:color="000000" w:sz="4" w:space="0"/>
              <w:bottom w:val="single" w:color="auto" w:sz="4" w:space="0"/>
              <w:right w:val="single" w:color="000000" w:sz="4" w:space="0"/>
            </w:tcBorders>
            <w:tcW w:w="52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gridSpan w:val="3"/>
            <w:shd w:val="clear" w:color="auto" w:fill="auto"/>
            <w:tcBorders>
              <w:top w:val="single" w:color="000000" w:sz="4" w:space="0"/>
              <w:left w:val="single" w:color="000000" w:sz="4" w:space="0"/>
              <w:bottom w:val="single" w:color="auto" w:sz="4" w:space="0"/>
              <w:right w:val="single" w:color="auto" w:sz="4" w:space="0"/>
            </w:tcBorders>
            <w:tcW w:w="170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日常养护</w:t>
            </w:r>
            <w:r/>
          </w:p>
        </w:tc>
        <w:tc>
          <w:tcPr>
            <w:shd w:val="clear" w:color="auto" w:fill="auto"/>
            <w:tcBorders>
              <w:top w:val="single" w:color="000000" w:sz="4" w:space="0"/>
              <w:left w:val="single" w:color="auto" w:sz="4" w:space="0"/>
              <w:bottom w:val="single" w:color="auto" w:sz="4" w:space="0"/>
              <w:right w:val="single" w:color="000000" w:sz="4" w:space="0"/>
            </w:tcBorders>
            <w:tcW w:w="620"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gridSpan w:val="2"/>
            <w:shd w:val="clear" w:color="auto" w:fill="auto"/>
            <w:tcBorders>
              <w:top w:val="single" w:color="000000" w:sz="4" w:space="0"/>
              <w:left w:val="single" w:color="000000" w:sz="4" w:space="0"/>
              <w:bottom w:val="single" w:color="auto" w:sz="4" w:space="0"/>
              <w:right w:val="single" w:color="auto" w:sz="4" w:space="0"/>
            </w:tcBorders>
            <w:tcW w:w="85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auto" w:sz="4" w:space="0"/>
              <w:bottom w:val="single" w:color="auto" w:sz="4" w:space="0"/>
              <w:right w:val="single" w:color="000000" w:sz="4" w:space="0"/>
            </w:tcBorders>
            <w:tcW w:w="95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auto" w:sz="4" w:space="0"/>
              <w:right w:val="single" w:color="000000" w:sz="4" w:space="0"/>
            </w:tcBorders>
            <w:tcW w:w="5460" w:type="dxa"/>
            <w:vAlign w:val="center"/>
            <w:textDirection w:val="lrTb"/>
            <w:noWrap w:val="false"/>
          </w:tcPr>
          <w:p>
            <w:pP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（1）150平方米左右草坪的养护和复播。</w:t>
            </w:r>
            <w:r/>
          </w:p>
          <w:p>
            <w:pP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（2）绿雕巡查、浇水、修剪、补植、施肥、加固、保洁等；其他绿化及景石、旱溪园路等景观小品的养护、维护。</w:t>
            </w:r>
            <w:r/>
          </w:p>
          <w:p>
            <w:pP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（3）按照采购人要求，全年更换绿雕小品上的宣传标语至少4次。</w:t>
            </w:r>
            <w:r/>
          </w:p>
          <w:p>
            <w:pP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（4）其他绿化及景观小品的养护、维护。</w:t>
            </w:r>
            <w:r/>
          </w:p>
        </w:tc>
      </w:tr>
      <w:tr>
        <w:trPr>
          <w:jc w:val="center"/>
          <w:trHeight w:val="640"/>
        </w:trPr>
        <w:tc>
          <w:tcPr>
            <w:gridSpan w:val="5"/>
            <w:shd w:val="clear" w:color="auto" w:fill="auto"/>
            <w:tcBorders>
              <w:top w:val="single" w:color="auto" w:sz="4" w:space="0"/>
              <w:left w:val="single" w:color="000000" w:sz="4" w:space="0"/>
              <w:bottom w:val="single" w:color="auto" w:sz="4" w:space="0"/>
              <w:right w:val="single" w:color="000000" w:sz="4" w:space="0"/>
            </w:tcBorders>
            <w:tcW w:w="2842"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小计（一）</w:t>
            </w:r>
            <w:r/>
          </w:p>
        </w:tc>
        <w:tc>
          <w:tcPr>
            <w:gridSpan w:val="2"/>
            <w:shd w:val="clear" w:color="auto" w:fill="auto"/>
            <w:tcBorders>
              <w:top w:val="single" w:color="auto" w:sz="4" w:space="0"/>
              <w:left w:val="single" w:color="000000" w:sz="4" w:space="0"/>
              <w:bottom w:val="single" w:color="auto" w:sz="4" w:space="0"/>
              <w:right w:val="single" w:color="auto" w:sz="4" w:space="0"/>
            </w:tcBorders>
            <w:tcW w:w="85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000000" w:sz="4" w:space="0"/>
            </w:tcBorders>
            <w:tcW w:w="95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000000" w:sz="4" w:space="0"/>
              <w:bottom w:val="single" w:color="auto" w:sz="4" w:space="0"/>
              <w:right w:val="single" w:color="000000" w:sz="4" w:space="0"/>
            </w:tcBorders>
            <w:tcW w:w="5460" w:type="dxa"/>
            <w:vAlign w:val="center"/>
            <w:textDirection w:val="lrTb"/>
            <w:noWrap w:val="false"/>
          </w:tcPr>
          <w:p>
            <w:pP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41"/>
        </w:trPr>
        <w:tc>
          <w:tcPr>
            <w:gridSpan w:val="9"/>
            <w:shd w:val="clear" w:color="auto" w:fill="auto"/>
            <w:tcBorders>
              <w:top w:val="single" w:color="auto" w:sz="4" w:space="0"/>
              <w:bottom w:val="single" w:color="auto" w:sz="4" w:space="0"/>
            </w:tcBorders>
            <w:tcW w:w="10104" w:type="dxa"/>
            <w:vAlign w:val="center"/>
            <w:textDirection w:val="lrTb"/>
            <w:noWrap w:val="false"/>
          </w:tcPr>
          <w:p>
            <w:pPr>
              <w:jc w:val="center"/>
              <w:spacing w:after="0"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二、天德湖南门绿雕</w:t>
            </w:r>
            <w:r/>
          </w:p>
          <w:p>
            <w:pPr>
              <w:jc w:val="center"/>
              <w:spacing w:after="0"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（含永定路高架立交绿柱、广电局南门绿墙和人民广场东支路东侧绿墙等）</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gridSpan w:val="3"/>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工作内容</w:t>
            </w:r>
            <w:r/>
          </w:p>
        </w:tc>
        <w:tc>
          <w:tcPr>
            <w:shd w:val="clear" w:color="auto" w:fill="auto"/>
            <w:tcBorders>
              <w:top w:val="single" w:color="auto" w:sz="4" w:space="0"/>
              <w:left w:val="single" w:color="auto" w:sz="4" w:space="0"/>
              <w:bottom w:val="single" w:color="auto" w:sz="4" w:space="0"/>
              <w:right w:val="single" w:color="auto" w:sz="4" w:space="0"/>
            </w:tcBorders>
            <w:tcW w:w="620"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tc>
        <w:tc>
          <w:tcPr>
            <w:gridSpan w:val="2"/>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w:t>
            </w:r>
            <w:r/>
          </w:p>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报价</w:t>
            </w:r>
            <w:r/>
          </w:p>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（元）</w:t>
            </w:r>
            <w:r/>
          </w:p>
        </w:tc>
        <w:tc>
          <w:tcPr>
            <w:shd w:val="clear" w:color="auto" w:fill="auto"/>
            <w:tcBorders>
              <w:top w:val="single" w:color="auto" w:sz="4" w:space="0"/>
              <w:left w:val="single" w:color="auto" w:sz="4" w:space="0"/>
              <w:bottom w:val="single" w:color="auto" w:sz="4" w:space="0"/>
              <w:right w:val="single" w:color="000000" w:sz="4" w:space="0"/>
            </w:tcBorders>
            <w:tcW w:w="5460"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相关要求</w:t>
            </w:r>
            <w:r/>
          </w:p>
        </w:tc>
      </w:tr>
      <w:tr>
        <w:trPr>
          <w:jc w:val="center"/>
          <w:trHeight w:val="3060"/>
        </w:trPr>
        <w:tc>
          <w:tcPr>
            <w:shd w:val="clear" w:color="auto" w:fill="auto"/>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gridSpan w:val="3"/>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绿雕主体钢结构加固</w:t>
            </w:r>
            <w:r/>
          </w:p>
        </w:tc>
        <w:tc>
          <w:tcPr>
            <w:shd w:val="clear" w:color="auto" w:fill="auto"/>
            <w:tcBorders>
              <w:top w:val="single" w:color="auto" w:sz="4" w:space="0"/>
              <w:left w:val="single" w:color="auto" w:sz="4" w:space="0"/>
              <w:bottom w:val="single" w:color="auto" w:sz="4" w:space="0"/>
              <w:right w:val="single" w:color="auto" w:sz="4" w:space="0"/>
            </w:tcBorders>
            <w:tcW w:w="620"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w:t>
            </w:r>
            <w:r/>
          </w:p>
        </w:tc>
        <w:tc>
          <w:tcPr>
            <w:gridSpan w:val="2"/>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000000" w:sz="4" w:space="0"/>
            </w:tcBorders>
            <w:tcW w:w="5460" w:type="dxa"/>
            <w:vAlign w:val="center"/>
            <w:textDirection w:val="lrTb"/>
            <w:noWrap w:val="false"/>
          </w:tcPr>
          <w:p>
            <w:pPr>
              <w:spacing w:after="0"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（1）主体钢结构加固：加固主体钢结构（国旗）和小品钢结构（银杏叶），定期除锈防锈，每</w:t>
            </w:r>
            <w:r>
              <w:rPr>
                <w:rFonts w:hint="eastAsia" w:ascii="宋体" w:hAnsi="宋体" w:eastAsia="宋体" w:cs="宋体"/>
                <w:bCs/>
                <w:strike w:val="0"/>
                <w:color w:val="auto"/>
                <w:szCs w:val="21"/>
                <w:highlight w:val="none"/>
                <w:lang w:val="en-US" w:eastAsia="zh-CN"/>
              </w:rPr>
              <w:t xml:space="preserve">月</w:t>
            </w:r>
            <w:r>
              <w:rPr>
                <w:rFonts w:hint="eastAsia" w:ascii="宋体" w:hAnsi="宋体" w:eastAsia="宋体" w:cs="宋体"/>
                <w:bCs/>
                <w:color w:val="auto"/>
                <w:szCs w:val="21"/>
                <w:highlight w:val="none"/>
              </w:rPr>
              <w:t xml:space="preserve">全面检查钢结构焊缝、节点及基层漆面，发现锈蚀立即手工或机械打磨除锈至金属本色，并涂刷环氧富锌底漆+丙烯酸聚氨酯面漆。</w:t>
            </w:r>
            <w:r/>
          </w:p>
          <w:p>
            <w:pPr>
              <w:spacing w:after="0"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（2）整体出新：每年至少1次对</w:t>
            </w:r>
            <w:r>
              <w:rPr>
                <w:rFonts w:hint="eastAsia" w:ascii="宋体" w:hAnsi="宋体" w:eastAsia="宋体" w:cs="宋体"/>
                <w:color w:val="auto"/>
                <w:szCs w:val="21"/>
                <w:highlight w:val="none"/>
              </w:rPr>
              <w:t xml:space="preserve">国旗正、反两面整体油漆出新。</w:t>
            </w:r>
            <w:r>
              <w:rPr>
                <w:rFonts w:hint="eastAsia" w:ascii="宋体" w:hAnsi="宋体" w:eastAsia="宋体" w:cs="宋体"/>
                <w:bCs/>
                <w:color w:val="auto"/>
                <w:szCs w:val="21"/>
                <w:highlight w:val="none"/>
              </w:rPr>
              <w:t xml:space="preserve">观感不佳、变形、褪色或剥落超20%的区域需整体重新搭建、涂装，形态、颜色保持与原设计一致。</w:t>
            </w:r>
            <w:r/>
          </w:p>
          <w:p>
            <w:pPr>
              <w:spacing w:after="0" w:line="32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（3）</w:t>
            </w:r>
            <w:r>
              <w:rPr>
                <w:rFonts w:hint="eastAsia" w:ascii="宋体" w:hAnsi="宋体" w:eastAsia="宋体" w:cs="宋体"/>
                <w:bCs/>
                <w:color w:val="auto"/>
                <w:szCs w:val="21"/>
                <w:highlight w:val="none"/>
              </w:rPr>
              <w:t xml:space="preserve">结构安全性防护：每月</w:t>
            </w:r>
            <w:r>
              <w:rPr>
                <w:rFonts w:hint="eastAsia" w:ascii="宋体" w:hAnsi="宋体" w:cs="宋体"/>
                <w:bCs/>
                <w:color w:val="auto"/>
                <w:szCs w:val="21"/>
                <w:highlight w:val="none"/>
                <w:lang w:val="en-US" w:eastAsia="zh-CN"/>
              </w:rPr>
              <w:t xml:space="preserve">应邀请相关专业人员</w:t>
            </w:r>
            <w:r>
              <w:rPr>
                <w:rFonts w:hint="eastAsia" w:ascii="宋体" w:hAnsi="宋体" w:eastAsia="宋体" w:cs="宋体"/>
                <w:bCs/>
                <w:color w:val="auto"/>
                <w:szCs w:val="21"/>
                <w:highlight w:val="none"/>
              </w:rPr>
              <w:t xml:space="preserve">检查</w:t>
            </w:r>
            <w:r>
              <w:rPr>
                <w:rFonts w:hint="eastAsia" w:ascii="宋体" w:hAnsi="宋体" w:cs="宋体"/>
                <w:bCs/>
                <w:color w:val="auto"/>
                <w:szCs w:val="21"/>
                <w:highlight w:val="none"/>
                <w:lang w:val="en-US" w:eastAsia="zh-CN"/>
              </w:rPr>
              <w:t xml:space="preserve">主体结构</w:t>
            </w:r>
            <w:r>
              <w:rPr>
                <w:rFonts w:hint="eastAsia" w:ascii="宋体" w:hAnsi="宋体" w:eastAsia="宋体" w:cs="宋体"/>
                <w:bCs/>
                <w:color w:val="auto"/>
                <w:szCs w:val="21"/>
                <w:highlight w:val="none"/>
              </w:rPr>
              <w:t xml:space="preserve">变形、松动情况</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确保主体结构无安全隐患</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检查结论须有相关专家签字确认。</w:t>
            </w:r>
            <w:r/>
          </w:p>
        </w:tc>
      </w:tr>
      <w:tr>
        <w:trPr>
          <w:jc w:val="center"/>
          <w:trHeight w:val="1174"/>
        </w:trPr>
        <w:tc>
          <w:tcPr>
            <w:shd w:val="clear" w:color="auto" w:fill="auto"/>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gridSpan w:val="3"/>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绿雕表面仿真</w:t>
            </w:r>
            <w:r/>
          </w:p>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绿植更换</w:t>
            </w:r>
            <w:r/>
          </w:p>
        </w:tc>
        <w:tc>
          <w:tcPr>
            <w:shd w:val="clear" w:color="auto" w:fill="auto"/>
            <w:tcBorders>
              <w:top w:val="single" w:color="auto" w:sz="4" w:space="0"/>
              <w:left w:val="single" w:color="auto" w:sz="4" w:space="0"/>
              <w:bottom w:val="single" w:color="auto" w:sz="4" w:space="0"/>
              <w:right w:val="single" w:color="auto" w:sz="4" w:space="0"/>
            </w:tcBorders>
            <w:tcW w:w="620"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m²</w:t>
            </w:r>
            <w:r/>
          </w:p>
        </w:tc>
        <w:tc>
          <w:tcPr>
            <w:shd w:val="clear" w:color="auto" w:fill="auto"/>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1130</w:t>
            </w:r>
            <w:r/>
          </w:p>
        </w:tc>
        <w:tc>
          <w:tcPr>
            <w:gridSpan w:val="2"/>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000000" w:sz="4" w:space="0"/>
            </w:tcBorders>
            <w:tcW w:w="5460" w:type="dxa"/>
            <w:vAlign w:val="center"/>
            <w:textDirection w:val="lrTb"/>
            <w:noWrap w:val="false"/>
          </w:tcPr>
          <w:p>
            <w:pPr>
              <w:ind w:firstLine="210"/>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合同期内，按照采购人要求对天德湖南门600平方米绿雕及永定路高架530平方米绿柱表面仿真绿植更换至少1次，并做好日常保养和维修。 </w:t>
            </w:r>
            <w:r>
              <w:rPr>
                <w:rFonts w:hint="eastAsia" w:ascii="宋体" w:hAnsi="宋体" w:eastAsia="宋体" w:cs="宋体"/>
                <w:color w:val="auto"/>
                <w:highlight w:val="none"/>
                <w:lang w:val="en-US" w:eastAsia="zh-CN"/>
              </w:rPr>
              <w:t xml:space="preserve">发现损坏或缺失的应当2日内维修到位。</w:t>
            </w:r>
            <w:r>
              <w:rPr>
                <w:rFonts w:hint="eastAsia" w:ascii="宋体" w:hAnsi="宋体" w:eastAsia="宋体" w:cs="宋体"/>
                <w:color w:val="auto"/>
                <w:highlight w:val="none"/>
              </w:rPr>
              <w:t xml:space="preserve">    </w:t>
            </w:r>
            <w:r/>
          </w:p>
        </w:tc>
      </w:tr>
      <w:tr>
        <w:trPr>
          <w:jc w:val="center"/>
          <w:trHeight w:val="2892"/>
        </w:trPr>
        <w:tc>
          <w:tcPr>
            <w:shd w:val="clear" w:color="auto" w:fill="auto"/>
            <w:tcBorders>
              <w:top w:val="single" w:color="auto" w:sz="4" w:space="0"/>
              <w:left w:val="single" w:color="auto" w:sz="4" w:space="0"/>
              <w:right w:val="single" w:color="auto" w:sz="4" w:space="0"/>
            </w:tcBorders>
            <w:tcW w:w="521" w:type="dxa"/>
            <w:vAlign w:val="center"/>
            <w:vMerge w:val="restart"/>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gridSpan w:val="2"/>
            <w:shd w:val="clear" w:color="auto" w:fill="auto"/>
            <w:tcBorders>
              <w:top w:val="single" w:color="auto" w:sz="4" w:space="0"/>
              <w:left w:val="single" w:color="auto" w:sz="4" w:space="0"/>
              <w:right w:val="single" w:color="auto" w:sz="4" w:space="0"/>
            </w:tcBorders>
            <w:tcW w:w="914" w:type="dxa"/>
            <w:vAlign w:val="center"/>
            <w:vMerge w:val="restart"/>
            <w:textDirection w:val="lrTb"/>
            <w:noWrap w:val="false"/>
          </w:tcPr>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地面花</w:t>
            </w:r>
            <w:r/>
          </w:p>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镜养护</w:t>
            </w:r>
            <w:r/>
          </w:p>
        </w:tc>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草花</w:t>
            </w:r>
            <w:r/>
          </w:p>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更换</w:t>
            </w:r>
            <w:r/>
          </w:p>
        </w:tc>
        <w:tc>
          <w:tcPr>
            <w:shd w:val="clear" w:color="auto" w:fill="auto"/>
            <w:tcBorders>
              <w:top w:val="single" w:color="auto" w:sz="4" w:space="0"/>
              <w:left w:val="single" w:color="auto" w:sz="4" w:space="0"/>
              <w:bottom w:val="single" w:color="auto" w:sz="4" w:space="0"/>
              <w:right w:val="single" w:color="auto" w:sz="4" w:space="0"/>
            </w:tcBorders>
            <w:tcW w:w="620"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m²</w:t>
            </w:r>
            <w:r/>
          </w:p>
        </w:tc>
        <w:tc>
          <w:tcPr>
            <w:shd w:val="clear" w:color="auto" w:fill="auto"/>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400</w:t>
            </w:r>
            <w:r/>
          </w:p>
        </w:tc>
        <w:tc>
          <w:tcPr>
            <w:gridSpan w:val="2"/>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right w:val="single" w:color="000000" w:sz="4" w:space="0"/>
            </w:tcBorders>
            <w:tcW w:w="5460" w:type="dxa"/>
            <w:vAlign w:val="center"/>
            <w:vMerge w:val="restart"/>
            <w:textDirection w:val="lrTb"/>
            <w:noWrap w:val="false"/>
          </w:tcPr>
          <w:p>
            <w:pPr>
              <w:ind w:firstLine="105"/>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（1）全年更换时令草花至少4次，所有时令草花盆径12cm以上，至少64盆/平方米，须满铺，脱盆栽植。绿雕整体换草至少2次。</w:t>
            </w:r>
            <w:r/>
          </w:p>
          <w:p>
            <w:pPr>
              <w:ind w:firstLine="105"/>
              <w:spacing w:after="0"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（2）植物品质：选用高品质容器苗或地栽健壮苗，无病虫害，确保四季有花。景观节点需有造型植物或彩叶针叶树作为焦点。</w:t>
            </w:r>
            <w:r/>
          </w:p>
          <w:p>
            <w:pPr>
              <w:ind w:firstLine="210"/>
              <w:spacing w:after="0"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（3）精细化养护：及时清理残花枯叶，根据季节控制水肥，定期梳理植物间距避免过密。主要花坛边缘需有装饰围边或收边植物。裸露地表用树皮、松鳞、火山石等覆盖物处理。</w:t>
            </w:r>
            <w:r/>
          </w:p>
          <w:p>
            <w:pPr>
              <w:ind w:firstLine="105"/>
              <w:spacing w:after="0" w:line="320" w:lineRule="exact"/>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（4）植株覆盖率大于80%，不得出现裸土。</w:t>
            </w:r>
            <w:r/>
          </w:p>
        </w:tc>
      </w:tr>
      <w:tr>
        <w:trPr>
          <w:jc w:val="center"/>
          <w:trHeight w:val="773"/>
        </w:trPr>
        <w:tc>
          <w:tcPr>
            <w:shd w:val="clear" w:color="auto" w:fill="auto"/>
            <w:tcBorders>
              <w:left w:val="single" w:color="auto" w:sz="4" w:space="0"/>
              <w:bottom w:val="single" w:color="auto" w:sz="4" w:space="0"/>
              <w:right w:val="single" w:color="auto" w:sz="4" w:space="0"/>
            </w:tcBorders>
            <w:tcW w:w="521" w:type="dxa"/>
            <w:vAlign w:val="center"/>
            <w:vMerge w:val="continue"/>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shd w:val="clear" w:color="auto" w:fill="auto"/>
            <w:tcBorders>
              <w:left w:val="single" w:color="auto" w:sz="4" w:space="0"/>
              <w:bottom w:val="single" w:color="auto" w:sz="4" w:space="0"/>
              <w:right w:val="single" w:color="auto" w:sz="4" w:space="0"/>
            </w:tcBorders>
            <w:tcW w:w="914" w:type="dxa"/>
            <w:vAlign w:val="center"/>
            <w:vMerge w:val="continue"/>
            <w:textDirection w:val="lrTb"/>
            <w:noWrap w:val="false"/>
          </w:tcPr>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绿雕</w:t>
            </w:r>
            <w:r/>
          </w:p>
          <w:p>
            <w:pPr>
              <w:jc w:val="center"/>
              <w:spacing w:after="0"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换草</w:t>
            </w:r>
            <w:r/>
          </w:p>
        </w:tc>
        <w:tc>
          <w:tcPr>
            <w:shd w:val="clear" w:color="auto" w:fill="auto"/>
            <w:tcBorders>
              <w:top w:val="single" w:color="auto" w:sz="4" w:space="0"/>
              <w:left w:val="single" w:color="auto" w:sz="4" w:space="0"/>
              <w:bottom w:val="single" w:color="auto" w:sz="4" w:space="0"/>
              <w:right w:val="single" w:color="auto" w:sz="4" w:space="0"/>
            </w:tcBorders>
            <w:tcW w:w="620"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m²</w:t>
            </w:r>
            <w:r/>
          </w:p>
        </w:tc>
        <w:tc>
          <w:tcPr>
            <w:shd w:val="clear" w:color="auto" w:fill="auto"/>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620</w:t>
            </w:r>
            <w:r/>
          </w:p>
        </w:tc>
        <w:tc>
          <w:tcPr>
            <w:gridSpan w:val="2"/>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left w:val="single" w:color="auto" w:sz="4" w:space="0"/>
              <w:bottom w:val="single" w:color="auto" w:sz="4" w:space="0"/>
              <w:right w:val="single" w:color="000000" w:sz="4" w:space="0"/>
            </w:tcBorders>
            <w:tcW w:w="5460" w:type="dxa"/>
            <w:vAlign w:val="center"/>
            <w:vMerge w:val="continue"/>
            <w:textDirection w:val="lrTb"/>
            <w:noWrap w:val="false"/>
          </w:tcPr>
          <w:p>
            <w:pPr>
              <w:ind w:firstLine="105"/>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1142"/>
        </w:trPr>
        <w:tc>
          <w:tcPr>
            <w:shd w:val="clear" w:color="auto" w:fill="auto"/>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gridSpan w:val="3"/>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sz w:val="20"/>
                <w:szCs w:val="20"/>
                <w:highlight w:val="none"/>
                <w:lang w:bidi="ar"/>
              </w:rPr>
              <w:t xml:space="preserve">绿墙养护</w:t>
            </w:r>
            <w:r/>
          </w:p>
        </w:tc>
        <w:tc>
          <w:tcPr>
            <w:shd w:val="clear" w:color="auto" w:fill="auto"/>
            <w:tcBorders>
              <w:top w:val="single" w:color="auto" w:sz="4" w:space="0"/>
              <w:left w:val="single" w:color="auto" w:sz="4" w:space="0"/>
              <w:bottom w:val="single" w:color="auto" w:sz="4" w:space="0"/>
              <w:right w:val="single" w:color="auto" w:sz="4" w:space="0"/>
            </w:tcBorders>
            <w:tcW w:w="620"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m²</w:t>
            </w:r>
            <w:r/>
          </w:p>
        </w:tc>
        <w:tc>
          <w:tcPr>
            <w:shd w:val="clear" w:color="auto" w:fill="auto"/>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193</w:t>
            </w:r>
            <w:r/>
          </w:p>
        </w:tc>
        <w:tc>
          <w:tcPr>
            <w:gridSpan w:val="2"/>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000000" w:sz="4" w:space="0"/>
            </w:tcBorders>
            <w:tcW w:w="5460" w:type="dxa"/>
            <w:vAlign w:val="center"/>
            <w:textDirection w:val="lrTb"/>
            <w:noWrap w:val="false"/>
          </w:tcPr>
          <w:p>
            <w:pP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（1）巡查、修剪、施肥、病虫害防治等。</w:t>
            </w:r>
            <w:r/>
          </w:p>
          <w:p>
            <w:pP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（2）死亡植物及时更换。</w:t>
            </w:r>
            <w:r/>
          </w:p>
          <w:p>
            <w:pP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（3）滴灌系统维护。</w:t>
            </w:r>
            <w:r/>
          </w:p>
        </w:tc>
      </w:tr>
      <w:tr>
        <w:trPr>
          <w:jc w:val="center"/>
          <w:trHeight w:val="1313"/>
        </w:trPr>
        <w:tc>
          <w:tcPr>
            <w:shd w:val="clear" w:color="auto" w:fill="auto"/>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gridSpan w:val="3"/>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亮化维护</w:t>
            </w:r>
            <w:r/>
          </w:p>
        </w:tc>
        <w:tc>
          <w:tcPr>
            <w:shd w:val="clear" w:color="auto" w:fill="auto"/>
            <w:tcBorders>
              <w:top w:val="single" w:color="auto" w:sz="4" w:space="0"/>
              <w:left w:val="single" w:color="auto" w:sz="4" w:space="0"/>
              <w:bottom w:val="single" w:color="auto" w:sz="4" w:space="0"/>
              <w:right w:val="single" w:color="auto" w:sz="4" w:space="0"/>
            </w:tcBorders>
            <w:tcW w:w="620"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gridSpan w:val="2"/>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000000" w:sz="4" w:space="0"/>
            </w:tcBorders>
            <w:tcW w:w="5460" w:type="dxa"/>
            <w:vAlign w:val="center"/>
            <w:textDirection w:val="lrTb"/>
            <w:noWrap w:val="false"/>
          </w:tcPr>
          <w:p>
            <w:pPr>
              <w:ind w:firstLine="210"/>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所有的亮化及灯带应按环保节能要求重新更换，并做好日常维护。凡有灯带、电缆线损坏、缺失等，须第一时间维修、更换。包括上述项目范围内绿雕、绿柱、绿墙等。</w:t>
            </w:r>
            <w:r/>
          </w:p>
        </w:tc>
      </w:tr>
      <w:tr>
        <w:trPr>
          <w:jc w:val="center"/>
          <w:trHeight w:val="1402"/>
        </w:trPr>
        <w:tc>
          <w:tcPr>
            <w:shd w:val="clear" w:color="auto" w:fill="auto"/>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gridSpan w:val="3"/>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日常养护</w:t>
            </w:r>
            <w:r/>
          </w:p>
        </w:tc>
        <w:tc>
          <w:tcPr>
            <w:shd w:val="clear" w:color="auto" w:fill="auto"/>
            <w:tcBorders>
              <w:top w:val="single" w:color="auto" w:sz="4" w:space="0"/>
              <w:left w:val="single" w:color="auto" w:sz="4" w:space="0"/>
              <w:bottom w:val="single" w:color="auto" w:sz="4" w:space="0"/>
              <w:right w:val="single" w:color="auto" w:sz="4" w:space="0"/>
            </w:tcBorders>
            <w:tcW w:w="620"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gridSpan w:val="2"/>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000000" w:sz="4" w:space="0"/>
            </w:tcBorders>
            <w:tcW w:w="5460" w:type="dxa"/>
            <w:vAlign w:val="center"/>
            <w:textDirection w:val="lrTb"/>
            <w:noWrap w:val="false"/>
          </w:tcPr>
          <w:p>
            <w:pP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（1）2000平方米左右草坪的养护和复播。</w:t>
            </w:r>
            <w:r/>
          </w:p>
          <w:p>
            <w:pP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（2）绿雕巡查、浇水、修剪、补植、施肥、加固、保洁等；其他绿化及景石、旱溪园路等景观小品的养护、维护。</w:t>
            </w:r>
            <w:r/>
          </w:p>
          <w:p>
            <w:pP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（3）其他绿化及景观小品的养护、维护。</w:t>
            </w:r>
            <w:r/>
          </w:p>
        </w:tc>
      </w:tr>
      <w:tr>
        <w:trPr>
          <w:jc w:val="center"/>
          <w:trHeight w:val="612"/>
        </w:trPr>
        <w:tc>
          <w:tcPr>
            <w:gridSpan w:val="5"/>
            <w:shd w:val="clear" w:color="auto" w:fill="auto"/>
            <w:tcBorders>
              <w:top w:val="single" w:color="auto" w:sz="4" w:space="0"/>
              <w:left w:val="single" w:color="auto" w:sz="4" w:space="0"/>
              <w:bottom w:val="single" w:color="auto" w:sz="4" w:space="0"/>
              <w:right w:val="single" w:color="auto" w:sz="4" w:space="0"/>
            </w:tcBorders>
            <w:tcW w:w="2842"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小计（二）</w:t>
            </w:r>
            <w:r/>
          </w:p>
        </w:tc>
        <w:tc>
          <w:tcPr>
            <w:shd w:val="clear" w:color="auto" w:fill="auto"/>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000000" w:sz="4" w:space="0"/>
            </w:tcBorders>
            <w:tcW w:w="5460" w:type="dxa"/>
            <w:vAlign w:val="center"/>
            <w:textDirection w:val="lrTb"/>
            <w:noWrap w:val="false"/>
          </w:tcPr>
          <w:p>
            <w:pP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12"/>
        </w:trPr>
        <w:tc>
          <w:tcPr>
            <w:gridSpan w:val="5"/>
            <w:shd w:val="clear" w:color="auto" w:fill="auto"/>
            <w:tcBorders>
              <w:top w:val="single" w:color="auto" w:sz="4" w:space="0"/>
              <w:left w:val="single" w:color="auto" w:sz="4" w:space="0"/>
              <w:bottom w:val="single" w:color="auto" w:sz="4" w:space="0"/>
              <w:right w:val="single" w:color="auto" w:sz="4" w:space="0"/>
            </w:tcBorders>
            <w:tcW w:w="2842" w:type="dxa"/>
            <w:vAlign w:val="center"/>
            <w:textDirection w:val="lrTb"/>
            <w:noWrap w:val="false"/>
          </w:tcPr>
          <w:p>
            <w:pPr>
              <w:jc w:val="center"/>
              <w:spacing w:after="0" w:line="32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合计</w:t>
            </w:r>
            <w:r>
              <w:rPr>
                <w:rFonts w:hint="eastAsia" w:ascii="宋体" w:hAnsi="宋体" w:eastAsia="宋体" w:cs="宋体"/>
                <w:b/>
                <w:bCs/>
                <w:color w:val="auto"/>
                <w:szCs w:val="21"/>
                <w:highlight w:val="none"/>
              </w:rPr>
              <w:t xml:space="preserve">（一+二</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报价总计（元）</w:t>
            </w:r>
            <w:r/>
          </w:p>
        </w:tc>
        <w:tc>
          <w:tcPr>
            <w:shd w:val="clear" w:color="auto" w:fill="auto"/>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000000" w:sz="4" w:space="0"/>
            </w:tcBorders>
            <w:tcW w:w="5460" w:type="dxa"/>
            <w:vAlign w:val="center"/>
            <w:textDirection w:val="lrTb"/>
            <w:noWrap w:val="false"/>
          </w:tcPr>
          <w:p>
            <w:pPr>
              <w:spacing w:after="0" w:line="3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ind w:firstLine="210"/>
        <w:spacing w:after="0" w:line="480" w:lineRule="exact"/>
        <w:rPr>
          <w:rFonts w:ascii="宋体" w:hAnsi="宋体"/>
          <w:color w:val="auto"/>
          <w:szCs w:val="21"/>
          <w:highlight w:val="none"/>
        </w:rPr>
      </w:pPr>
      <w:r>
        <w:rPr>
          <w:rFonts w:hint="eastAsia" w:ascii="宋体" w:hAnsi="宋体"/>
          <w:color w:val="auto"/>
          <w:szCs w:val="21"/>
          <w:highlight w:val="none"/>
        </w:rPr>
        <w:t xml:space="preserve">备注：</w:t>
      </w:r>
      <w:r/>
    </w:p>
    <w:p>
      <w:pPr>
        <w:ind w:firstLine="630"/>
        <w:spacing w:after="0" w:line="320" w:lineRule="exact"/>
        <w:rPr>
          <w:rFonts w:ascii="宋体" w:hAnsi="宋体" w:cs="宋体"/>
          <w:color w:val="auto"/>
          <w:szCs w:val="21"/>
          <w:highlight w:val="none"/>
          <w:lang w:bidi="ar"/>
        </w:rPr>
      </w:pPr>
      <w:r>
        <w:rPr>
          <w:rFonts w:hint="eastAsia" w:ascii="宋体" w:hAnsi="宋体"/>
          <w:color w:val="auto"/>
          <w:szCs w:val="21"/>
          <w:highlight w:val="none"/>
        </w:rPr>
        <w:t xml:space="preserve">（</w:t>
      </w:r>
      <w:r>
        <w:rPr>
          <w:rFonts w:hint="eastAsia" w:ascii="宋体" w:hAnsi="宋体" w:cs="宋体"/>
          <w:color w:val="auto"/>
          <w:szCs w:val="21"/>
          <w:highlight w:val="none"/>
          <w:lang w:bidi="ar"/>
        </w:rPr>
        <w:t xml:space="preserve">1）地面花境每年至少更换4次,原则上春夏秋冬每季更换一次,具体更换时间经甲方确认后执行，确保四季有花。</w:t>
      </w:r>
      <w:r/>
    </w:p>
    <w:p>
      <w:pPr>
        <w:ind w:firstLine="630"/>
        <w:spacing w:after="0" w:line="32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（2）绿雕主体钢结构需每年至少进行1次全面加固与防腐出新。</w:t>
      </w:r>
      <w:r/>
    </w:p>
    <w:p>
      <w:pPr>
        <w:ind w:firstLine="630"/>
        <w:spacing w:after="0" w:line="320" w:lineRule="exact"/>
        <w:rPr>
          <w:rFonts w:ascii="宋体" w:hAnsi="宋体"/>
          <w:color w:val="auto"/>
          <w:szCs w:val="21"/>
          <w:highlight w:val="none"/>
        </w:rPr>
      </w:pPr>
      <w:r>
        <w:rPr>
          <w:rFonts w:hint="eastAsia" w:ascii="宋体" w:hAnsi="宋体" w:cs="宋体"/>
          <w:color w:val="auto"/>
          <w:szCs w:val="21"/>
          <w:highlight w:val="none"/>
          <w:lang w:bidi="ar"/>
        </w:rPr>
        <w:t xml:space="preserve">（3）供应商所报价格包括脚手架搭拆、绿植花卉材料、零星种植网拆换及营养土补充更换与改良、人工费、日常维护费、各项税金等。</w:t>
      </w:r>
      <w:r>
        <w:rPr>
          <w:rFonts w:ascii="宋体" w:hAnsi="宋体"/>
          <w:color w:val="auto"/>
          <w:szCs w:val="21"/>
          <w:highlight w:val="none"/>
        </w:rPr>
        <w:t xml:space="preserve"> </w:t>
      </w:r>
      <w:r/>
    </w:p>
    <w:p>
      <w:pPr>
        <w:ind w:firstLine="630"/>
        <w:spacing w:after="0" w:line="320" w:lineRule="exact"/>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以上品种和数量为投标报价的共同基础，实际</w:t>
      </w:r>
      <w:r>
        <w:rPr>
          <w:rFonts w:hint="eastAsia" w:ascii="宋体" w:hAnsi="宋体"/>
          <w:color w:val="auto"/>
          <w:szCs w:val="21"/>
          <w:highlight w:val="none"/>
        </w:rPr>
        <w:t xml:space="preserve">以具体实施</w:t>
      </w:r>
      <w:r>
        <w:rPr>
          <w:rFonts w:ascii="宋体" w:hAnsi="宋体"/>
          <w:color w:val="auto"/>
          <w:szCs w:val="21"/>
          <w:highlight w:val="none"/>
        </w:rPr>
        <w:t xml:space="preserve">的</w:t>
      </w:r>
      <w:r>
        <w:rPr>
          <w:rFonts w:hint="eastAsia" w:ascii="宋体" w:hAnsi="宋体"/>
          <w:color w:val="auto"/>
          <w:szCs w:val="21"/>
          <w:highlight w:val="none"/>
        </w:rPr>
        <w:t xml:space="preserve">为准</w:t>
      </w:r>
      <w:r>
        <w:rPr>
          <w:rFonts w:ascii="宋体" w:hAnsi="宋体"/>
          <w:color w:val="auto"/>
          <w:szCs w:val="21"/>
          <w:highlight w:val="none"/>
        </w:rPr>
        <w:t xml:space="preserve">。</w:t>
      </w:r>
      <w:r>
        <w:rPr>
          <w:rFonts w:hint="eastAsia" w:ascii="宋体" w:hAnsi="宋体"/>
          <w:color w:val="auto"/>
          <w:szCs w:val="21"/>
          <w:highlight w:val="none"/>
        </w:rPr>
        <w:t xml:space="preserve">成交供应商除需履行上述工作内容及要求外，还须完成采购人布置的其他临时性工作和指令性任务。</w:t>
      </w:r>
      <w:bookmarkStart w:id="144" w:name="_Hlk240472083"/>
      <w:r/>
      <w:r/>
    </w:p>
    <w:p>
      <w:pPr>
        <w:ind w:firstLine="630"/>
        <w:spacing w:after="0" w:line="320" w:lineRule="exact"/>
        <w:rPr>
          <w:rFonts w:ascii="宋体" w:hAnsi="宋体"/>
          <w:color w:val="auto"/>
          <w:szCs w:val="21"/>
          <w:highlight w:val="none"/>
        </w:rPr>
      </w:pPr>
      <w:r>
        <w:rPr>
          <w:rFonts w:hint="eastAsia" w:ascii="宋体" w:hAnsi="宋体"/>
          <w:color w:val="auto"/>
          <w:szCs w:val="21"/>
          <w:highlight w:val="none"/>
        </w:rPr>
        <w:t xml:space="preserve">（5）本项目最高限价：130万元，其中人民广场绿雕最高限价</w:t>
      </w:r>
      <w:r>
        <w:rPr>
          <w:rFonts w:ascii="宋体" w:hAnsi="宋体"/>
          <w:color w:val="auto"/>
          <w:szCs w:val="21"/>
          <w:highlight w:val="none"/>
        </w:rPr>
        <w:t xml:space="preserve">55</w:t>
      </w:r>
      <w:r>
        <w:rPr>
          <w:rFonts w:hint="eastAsia" w:ascii="宋体" w:hAnsi="宋体"/>
          <w:color w:val="auto"/>
          <w:szCs w:val="21"/>
          <w:highlight w:val="none"/>
        </w:rPr>
        <w:t xml:space="preserve">万元，天德湖南门绿雕最高限价</w:t>
      </w:r>
      <w:r>
        <w:rPr>
          <w:rFonts w:ascii="宋体" w:hAnsi="宋体"/>
          <w:color w:val="auto"/>
          <w:szCs w:val="21"/>
          <w:highlight w:val="none"/>
        </w:rPr>
        <w:t xml:space="preserve">75</w:t>
      </w:r>
      <w:r>
        <w:rPr>
          <w:rFonts w:hint="eastAsia" w:ascii="宋体" w:hAnsi="宋体"/>
          <w:color w:val="auto"/>
          <w:szCs w:val="21"/>
          <w:highlight w:val="none"/>
        </w:rPr>
        <w:t xml:space="preserve">万元（含永定东风高架立交绿柱、市广电局南门和人民广场东支路东侧绿墙等）。投标报价总价以及单项报价均不得高于最高限价，否则，作无效投标响应文件处理。</w:t>
      </w:r>
      <w:r/>
    </w:p>
    <w:p>
      <w:pPr>
        <w:ind w:firstLine="422"/>
        <w:jc w:val="left"/>
        <w:spacing w:after="0" w:line="320" w:lineRule="exact"/>
        <w:widowControl/>
        <w:rPr>
          <w:rFonts w:ascii="宋体" w:hAnsi="宋体"/>
          <w:color w:val="auto"/>
          <w:szCs w:val="21"/>
          <w:highlight w:val="none"/>
        </w:rPr>
      </w:pPr>
      <w:r>
        <w:rPr>
          <w:rFonts w:hint="eastAsia" w:ascii="宋体" w:hAnsi="宋体"/>
          <w:color w:val="auto"/>
          <w:szCs w:val="21"/>
          <w:highlight w:val="none"/>
        </w:rPr>
        <w:t xml:space="preserve">（6）本《报价明细表》中的投标报价总计金额应当等于《首次磋商报价表》中总价金额，否则，将直接导致其响应文件有效性的判定或者使其在评审中处于不利地位，由此导致的一切风险由供应商自行承担。</w:t>
      </w:r>
      <w:r/>
    </w:p>
    <w:p>
      <w:pPr>
        <w:ind w:firstLine="422"/>
        <w:jc w:val="left"/>
        <w:spacing w:after="0" w:line="320" w:lineRule="exact"/>
        <w:widowControl/>
        <w:rPr>
          <w:rFonts w:ascii="宋体" w:hAnsi="宋体"/>
          <w:color w:val="auto"/>
          <w:szCs w:val="21"/>
          <w:highlight w:val="none"/>
        </w:rPr>
      </w:pPr>
      <w:r>
        <w:rPr>
          <w:rFonts w:hint="eastAsia" w:ascii="宋体" w:hAnsi="宋体"/>
          <w:color w:val="auto"/>
          <w:szCs w:val="21"/>
          <w:highlight w:val="none"/>
        </w:rPr>
        <w:t xml:space="preserve">（7）二次报价时，各分项报价以首次磋商各分项报价为基数，按照最终承诺报价相对于首次磋商投标总价的比例同比例下浮，二次报价各分项合计金额须等于最终承诺报价。</w:t>
      </w:r>
      <w:bookmarkEnd w:id="144"/>
      <w:r/>
    </w:p>
    <w:p>
      <w:pPr>
        <w:jc w:val="left"/>
        <w:spacing w:line="360" w:lineRule="auto"/>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法定代表人或授权代表（签字或盖章）：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jc w:val="left"/>
        <w:spacing w:line="360" w:lineRule="auto"/>
        <w:rPr>
          <w:rFonts w:ascii="宋体" w:hAnsi="宋体"/>
          <w:color w:val="auto"/>
          <w:szCs w:val="21"/>
          <w:highlight w:val="none"/>
        </w:rPr>
      </w:pPr>
      <w:r>
        <w:rPr>
          <w:rFonts w:hint="eastAsia" w:ascii="宋体" w:hAnsi="宋体" w:cs="宋体"/>
          <w:color w:val="auto"/>
          <w:highlight w:val="none"/>
        </w:rPr>
        <w:t xml:space="preserve">供应商名称（加盖CA电子公章）</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ind w:firstLine="3780"/>
        <w:jc w:val="left"/>
        <w:spacing w:line="360" w:lineRule="auto"/>
        <w:rPr>
          <w:rFonts w:ascii="宋体" w:hAnsi="宋体"/>
          <w:color w:val="auto"/>
          <w:szCs w:val="21"/>
          <w:highlight w:val="none"/>
        </w:rPr>
      </w:pPr>
      <w:r>
        <w:rPr>
          <w:rFonts w:hint="eastAsia" w:ascii="宋体" w:hAnsi="宋体"/>
          <w:color w:val="auto"/>
          <w:szCs w:val="21"/>
          <w:highlight w:val="none"/>
        </w:rPr>
        <w:t xml:space="preserve">日期：    年   月    日</w:t>
      </w:r>
      <w:r/>
    </w:p>
    <w:p>
      <w:pPr>
        <w:rPr>
          <w:rFonts w:ascii="宋体" w:hAnsi="宋体"/>
          <w:b/>
          <w:bCs/>
          <w:color w:val="auto"/>
          <w:szCs w:val="21"/>
          <w:highlight w:val="none"/>
        </w:rPr>
      </w:pPr>
      <w:r>
        <w:rPr>
          <w:rFonts w:ascii="宋体" w:hAnsi="宋体"/>
          <w:b/>
          <w:bCs/>
          <w:color w:val="auto"/>
          <w:szCs w:val="21"/>
          <w:highlight w:val="none"/>
        </w:rPr>
      </w:r>
      <w:r/>
    </w:p>
    <w:p>
      <w:pPr>
        <w:rPr>
          <w:rFonts w:ascii="宋体" w:hAnsi="宋体"/>
          <w:b/>
          <w:bCs/>
          <w:color w:val="auto"/>
          <w:szCs w:val="21"/>
          <w:highlight w:val="none"/>
        </w:rPr>
      </w:pPr>
      <w:r>
        <w:rPr>
          <w:rFonts w:ascii="宋体" w:hAnsi="宋体"/>
          <w:b/>
          <w:bCs/>
          <w:color w:val="auto"/>
          <w:szCs w:val="21"/>
          <w:highlight w:val="none"/>
        </w:rPr>
      </w:r>
      <w:r/>
    </w:p>
    <w:p>
      <w:pPr>
        <w:rPr>
          <w:rFonts w:ascii="宋体" w:hAnsi="宋体"/>
          <w:color w:val="auto"/>
          <w:szCs w:val="21"/>
          <w:highlight w:val="none"/>
        </w:rPr>
      </w:pPr>
      <w:r>
        <w:rPr>
          <w:rFonts w:hint="eastAsia" w:ascii="宋体" w:hAnsi="宋体"/>
          <w:b/>
          <w:bCs/>
          <w:color w:val="auto"/>
          <w:szCs w:val="21"/>
          <w:highlight w:val="none"/>
        </w:rPr>
        <w:t xml:space="preserve">附件7：</w:t>
      </w:r>
      <w:r>
        <w:rPr>
          <w:rFonts w:hint="eastAsia" w:ascii="宋体" w:hAnsi="宋体"/>
          <w:color w:val="auto"/>
          <w:szCs w:val="21"/>
          <w:highlight w:val="none"/>
        </w:rPr>
        <w:t xml:space="preserve">        </w:t>
      </w:r>
      <w:r/>
    </w:p>
    <w:p>
      <w:pPr>
        <w:rPr>
          <w:rFonts w:ascii="宋体" w:hAnsi="宋体" w:cs="宋体"/>
          <w:b/>
          <w:bCs/>
          <w:color w:val="auto"/>
          <w:szCs w:val="21"/>
          <w:highlight w:val="none"/>
        </w:rPr>
      </w:pPr>
      <w:r>
        <w:rPr>
          <w:rFonts w:hint="eastAsia" w:ascii="宋体" w:hAnsi="宋体"/>
          <w:b/>
          <w:bCs/>
          <w:color w:val="auto"/>
          <w:sz w:val="28"/>
          <w:szCs w:val="28"/>
          <w:highlight w:val="none"/>
        </w:rPr>
        <w:t xml:space="preserve">具备履行合同所必需的设备和专业技术能力的书面声明原件</w:t>
      </w:r>
      <w:r>
        <w:rPr>
          <w:rFonts w:hint="eastAsia" w:ascii="宋体" w:hAnsi="宋体" w:cs="宋体"/>
          <w:b/>
          <w:bCs/>
          <w:color w:val="auto"/>
          <w:szCs w:val="21"/>
          <w:highlight w:val="none"/>
        </w:rPr>
        <w:t xml:space="preserve"> </w:t>
      </w:r>
      <w:r/>
    </w:p>
    <w:p>
      <w:pPr>
        <w:pStyle w:val="1168"/>
        <w:ind w:left="40" w:firstLine="480"/>
        <w:jc w:val="center"/>
        <w:spacing w:line="360" w:lineRule="auto"/>
        <w:rPr>
          <w:rFonts w:hAnsi="宋体"/>
          <w:b/>
          <w:bCs/>
          <w:color w:val="auto"/>
          <w:szCs w:val="21"/>
          <w:highlight w:val="none"/>
        </w:rPr>
      </w:pPr>
      <w:r>
        <w:rPr>
          <w:rFonts w:hint="eastAsia" w:hAnsi="宋体"/>
          <w:b/>
          <w:bCs/>
          <w:color w:val="auto"/>
          <w:szCs w:val="21"/>
          <w:highlight w:val="none"/>
        </w:rPr>
        <w:t xml:space="preserve"> </w:t>
      </w:r>
      <w:r/>
    </w:p>
    <w:p>
      <w:pPr>
        <w:pStyle w:val="1168"/>
        <w:jc w:val="center"/>
        <w:spacing w:line="360" w:lineRule="auto"/>
        <w:rPr>
          <w:rFonts w:hAnsi="宋体" w:cs="Times New Roman"/>
          <w:b/>
          <w:color w:val="auto"/>
          <w:sz w:val="30"/>
          <w:szCs w:val="30"/>
          <w:highlight w:val="none"/>
        </w:rPr>
      </w:pPr>
      <w:r>
        <w:rPr>
          <w:rFonts w:hint="eastAsia" w:hAnsi="宋体" w:cs="Times New Roman"/>
          <w:b/>
          <w:color w:val="auto"/>
          <w:sz w:val="28"/>
          <w:szCs w:val="28"/>
          <w:highlight w:val="none"/>
        </w:rPr>
        <w:t xml:space="preserve">具有履行合同所必需的设备和专业技术能力的书面声明</w:t>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80"/>
        <w:spacing w:after="0" w:line="360" w:lineRule="auto"/>
        <w:rPr>
          <w:rFonts w:ascii="宋体" w:hAnsi="宋体" w:cs="宋体"/>
          <w:bCs/>
          <w:color w:val="auto"/>
          <w:sz w:val="24"/>
          <w:highlight w:val="none"/>
        </w:rPr>
      </w:pPr>
      <w:r>
        <w:rPr>
          <w:rFonts w:hint="eastAsia" w:ascii="宋体" w:hAnsi="宋体" w:cs="宋体"/>
          <w:bCs/>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3"/>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主要设备有：</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ind w:firstLine="493"/>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主要专业技术能力有：</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tabs>
          <w:tab w:val="left" w:pos="525" w:leader="none"/>
          <w:tab w:val="left" w:pos="630" w:leader="none"/>
          <w:tab w:val="left" w:pos="945" w:leader="none"/>
        </w:tabs>
        <w:rPr>
          <w:rFonts w:ascii="宋体" w:hAnsi="宋体"/>
          <w:color w:val="auto"/>
          <w:sz w:val="24"/>
          <w:highlight w:val="none"/>
        </w:rPr>
      </w:pPr>
      <w:r>
        <w:rPr>
          <w:rFonts w:hint="eastAsia" w:ascii="宋体" w:hAnsi="宋体" w:cs="宋体"/>
          <w:color w:val="auto"/>
          <w:sz w:val="24"/>
          <w:highlight w:val="none"/>
        </w:rPr>
        <w:t xml:space="preserve">供应商</w:t>
      </w:r>
      <w:r>
        <w:rPr>
          <w:rFonts w:hint="eastAsia" w:ascii="宋体" w:hAnsi="宋体"/>
          <w:bCs/>
          <w:color w:val="auto"/>
          <w:sz w:val="24"/>
          <w:highlight w:val="none"/>
        </w:rPr>
        <w:t xml:space="preserve">名称</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（加盖CA电子公章）</w:t>
      </w:r>
      <w:r/>
    </w:p>
    <w:p>
      <w:pPr>
        <w:spacing w:line="360" w:lineRule="auto"/>
        <w:tabs>
          <w:tab w:val="left" w:pos="525" w:leader="none"/>
          <w:tab w:val="left" w:pos="630" w:leader="none"/>
          <w:tab w:val="left" w:pos="945" w:leader="none"/>
        </w:tabs>
        <w:rPr>
          <w:rFonts w:ascii="宋体" w:hAnsi="宋体"/>
          <w:color w:val="auto"/>
          <w:sz w:val="24"/>
          <w:highlight w:val="none"/>
        </w:rPr>
      </w:pPr>
      <w:r>
        <w:rPr>
          <w:rFonts w:hint="eastAsia" w:ascii="宋体" w:hAnsi="宋体"/>
          <w:color w:val="auto"/>
          <w:sz w:val="24"/>
          <w:highlight w:val="none"/>
        </w:rPr>
        <w:t xml:space="preserve">法定代表人或授权代表（签字或盖章）：</w:t>
      </w:r>
      <w:r/>
    </w:p>
    <w:p>
      <w:pPr>
        <w:spacing w:line="360" w:lineRule="auto"/>
        <w:tabs>
          <w:tab w:val="left" w:pos="525" w:leader="none"/>
          <w:tab w:val="left" w:pos="630" w:leader="none"/>
          <w:tab w:val="left" w:pos="945" w:leader="none"/>
        </w:tabs>
        <w:rPr>
          <w:rFonts w:ascii="宋体" w:hAnsi="宋体"/>
          <w:color w:val="auto"/>
          <w:sz w:val="24"/>
          <w:highlight w:val="none"/>
        </w:rPr>
      </w:pPr>
      <w:r>
        <w:rPr>
          <w:rFonts w:hint="eastAsia" w:ascii="宋体" w:hAnsi="宋体"/>
          <w:color w:val="auto"/>
          <w:sz w:val="24"/>
          <w:highlight w:val="none"/>
        </w:rPr>
        <w:t xml:space="preserve">日期：</w:t>
      </w:r>
      <w:r/>
    </w:p>
    <w:p>
      <w:pPr>
        <w:rPr>
          <w:color w:val="auto"/>
          <w:highlight w:val="none"/>
        </w:rPr>
        <w:sectPr>
          <w:footnotePr/>
          <w:endnotePr/>
          <w:type w:val="nextPage"/>
          <w:pgSz w:w="11906" w:h="16838" w:orient="portrait"/>
          <w:pgMar w:top="1015" w:right="1196" w:bottom="1440" w:left="1259" w:header="851" w:footer="992" w:gutter="0"/>
          <w:cols w:num="1" w:sep="0" w:space="720" w:equalWidth="1"/>
          <w:docGrid w:linePitch="360"/>
        </w:sectPr>
      </w:pPr>
      <w:r>
        <w:rPr>
          <w:color w:val="auto"/>
          <w:highlight w:val="none"/>
        </w:rPr>
      </w:r>
      <w:r/>
    </w:p>
    <w:p>
      <w:pPr>
        <w:spacing w:line="360" w:lineRule="auto"/>
        <w:rPr>
          <w:rFonts w:ascii="宋体" w:hAnsi="宋体" w:cs="宋体"/>
          <w:color w:val="auto"/>
          <w:sz w:val="28"/>
          <w:szCs w:val="28"/>
          <w:highlight w:val="none"/>
        </w:rPr>
      </w:pPr>
      <w:r/>
      <w:bookmarkStart w:id="145" w:name="_Toc12582"/>
      <w:r/>
      <w:bookmarkEnd w:id="145"/>
      <w:r>
        <w:rPr>
          <w:rFonts w:hint="eastAsia" w:ascii="宋体" w:hAnsi="宋体"/>
          <w:b/>
          <w:bCs/>
          <w:color w:val="auto"/>
          <w:szCs w:val="21"/>
          <w:highlight w:val="none"/>
        </w:rPr>
        <w:t xml:space="preserve">附件8：</w:t>
      </w:r>
      <w:r>
        <w:rPr>
          <w:rFonts w:hint="eastAsia" w:ascii="宋体" w:hAnsi="宋体" w:cs="宋体"/>
          <w:color w:val="auto"/>
          <w:szCs w:val="21"/>
          <w:highlight w:val="none"/>
        </w:rPr>
        <w:t xml:space="preserve"> </w:t>
      </w:r>
      <w:r>
        <w:rPr>
          <w:rFonts w:hint="eastAsia" w:ascii="宋体" w:hAnsi="宋体" w:cs="宋体"/>
          <w:color w:val="auto"/>
          <w:sz w:val="28"/>
          <w:szCs w:val="28"/>
          <w:highlight w:val="none"/>
        </w:rPr>
        <w:t xml:space="preserve"> </w:t>
      </w:r>
      <w:r/>
    </w:p>
    <w:p>
      <w:pPr>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参加政府采购活动前3年内在经营活动中没有重大违法记录的书面声明</w:t>
      </w:r>
      <w:r/>
    </w:p>
    <w:p>
      <w:pPr>
        <w:jc w:val="left"/>
        <w:spacing w:line="420" w:lineRule="exact"/>
        <w:rPr>
          <w:rFonts w:ascii="宋体" w:hAnsi="宋体"/>
          <w:color w:val="auto"/>
          <w:szCs w:val="21"/>
          <w:highlight w:val="none"/>
        </w:rPr>
      </w:pPr>
      <w:r>
        <w:rPr>
          <w:rFonts w:hint="eastAsia" w:ascii="宋体" w:hAnsi="宋体"/>
          <w:color w:val="auto"/>
          <w:szCs w:val="21"/>
          <w:highlight w:val="none"/>
        </w:rPr>
        <w:t xml:space="preserve"> </w:t>
      </w:r>
      <w:r/>
    </w:p>
    <w:p>
      <w:pPr>
        <w:jc w:val="center"/>
        <w:spacing w:line="420" w:lineRule="exact"/>
        <w:rPr>
          <w:rFonts w:ascii="宋体" w:hAnsi="宋体"/>
          <w:b/>
          <w:bCs/>
          <w:color w:val="auto"/>
          <w:sz w:val="24"/>
          <w:highlight w:val="none"/>
        </w:rPr>
      </w:pPr>
      <w:r>
        <w:rPr>
          <w:rFonts w:hint="eastAsia" w:ascii="宋体" w:hAnsi="宋体"/>
          <w:b/>
          <w:bCs/>
          <w:color w:val="auto"/>
          <w:sz w:val="24"/>
          <w:highlight w:val="none"/>
        </w:rPr>
        <w:t xml:space="preserve">声 明</w:t>
      </w:r>
      <w:r/>
    </w:p>
    <w:p>
      <w:pPr>
        <w:ind w:firstLine="416"/>
        <w:jc w:val="left"/>
        <w:spacing w:line="420" w:lineRule="exact"/>
        <w:rPr>
          <w:rFonts w:ascii="宋体" w:hAnsi="宋体"/>
          <w:color w:val="auto"/>
          <w:sz w:val="24"/>
          <w:highlight w:val="none"/>
        </w:rPr>
      </w:pPr>
      <w:r>
        <w:rPr>
          <w:rFonts w:hint="eastAsia" w:ascii="宋体" w:hAnsi="宋体"/>
          <w:color w:val="auto"/>
          <w:sz w:val="24"/>
          <w:highlight w:val="none"/>
        </w:rPr>
        <w:t xml:space="preserve">我公司郑重声明：参加本次政府采购活动前3年内，我公司在经营活动中没有因违法经营受到刑事处罚或者责令停产停业、吊销许可证或者执照、较大数额罚款等行政处罚。 </w:t>
      </w:r>
      <w:r/>
    </w:p>
    <w:p>
      <w:pPr>
        <w:jc w:val="right"/>
        <w:spacing w:line="420" w:lineRule="exact"/>
        <w:rPr>
          <w:rFonts w:ascii="宋体" w:hAnsi="宋体"/>
          <w:color w:val="auto"/>
          <w:szCs w:val="21"/>
          <w:highlight w:val="none"/>
        </w:rPr>
      </w:pPr>
      <w:r>
        <w:rPr>
          <w:rFonts w:hint="eastAsia" w:ascii="宋体" w:hAnsi="宋体"/>
          <w:color w:val="auto"/>
          <w:szCs w:val="21"/>
          <w:highlight w:val="none"/>
        </w:rPr>
        <w:t xml:space="preserve"> </w:t>
      </w:r>
      <w:r/>
    </w:p>
    <w:p>
      <w:pPr>
        <w:jc w:val="right"/>
        <w:spacing w:line="420" w:lineRule="exact"/>
        <w:rPr>
          <w:rFonts w:ascii="宋体" w:hAnsi="宋体"/>
          <w:color w:val="auto"/>
          <w:szCs w:val="21"/>
          <w:highlight w:val="none"/>
        </w:rPr>
      </w:pPr>
      <w:r>
        <w:rPr>
          <w:rFonts w:hint="eastAsia" w:ascii="宋体" w:hAnsi="宋体"/>
          <w:color w:val="auto"/>
          <w:szCs w:val="21"/>
          <w:highlight w:val="none"/>
        </w:rPr>
        <w:t xml:space="preserve"> </w:t>
      </w:r>
      <w:r/>
    </w:p>
    <w:p>
      <w:pPr>
        <w:jc w:val="right"/>
        <w:spacing w:line="420" w:lineRule="exact"/>
        <w:rPr>
          <w:rFonts w:ascii="宋体" w:hAnsi="宋体"/>
          <w:color w:val="auto"/>
          <w:szCs w:val="21"/>
          <w:highlight w:val="none"/>
        </w:rPr>
      </w:pPr>
      <w:r>
        <w:rPr>
          <w:rFonts w:hint="eastAsia" w:ascii="宋体" w:hAnsi="宋体"/>
          <w:color w:val="auto"/>
          <w:szCs w:val="21"/>
          <w:highlight w:val="none"/>
        </w:rPr>
        <w:t xml:space="preserve"> </w:t>
      </w:r>
      <w:r/>
    </w:p>
    <w:p>
      <w:pPr>
        <w:spacing w:line="360" w:lineRule="auto"/>
        <w:tabs>
          <w:tab w:val="left" w:pos="525" w:leader="none"/>
          <w:tab w:val="left" w:pos="630" w:leader="none"/>
          <w:tab w:val="left" w:pos="945" w:leader="none"/>
        </w:tabs>
        <w:rPr>
          <w:rFonts w:ascii="宋体" w:hAnsi="宋体"/>
          <w:color w:val="auto"/>
          <w:sz w:val="24"/>
          <w:highlight w:val="none"/>
        </w:rPr>
      </w:pPr>
      <w:r/>
      <w:bookmarkStart w:id="146" w:name="_Toc8291"/>
      <w:r/>
      <w:bookmarkEnd w:id="146"/>
      <w:r>
        <w:rPr>
          <w:rFonts w:hint="eastAsia" w:ascii="宋体" w:hAnsi="宋体" w:cs="宋体"/>
          <w:color w:val="auto"/>
          <w:sz w:val="24"/>
          <w:highlight w:val="none"/>
        </w:rPr>
        <w:t xml:space="preserve">供应商</w:t>
      </w:r>
      <w:r>
        <w:rPr>
          <w:rFonts w:hint="eastAsia" w:ascii="宋体" w:hAnsi="宋体"/>
          <w:bCs/>
          <w:color w:val="auto"/>
          <w:sz w:val="24"/>
          <w:highlight w:val="none"/>
        </w:rPr>
        <w:t xml:space="preserve">名称</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（加盖CA电子公章）</w:t>
      </w:r>
      <w:r/>
    </w:p>
    <w:p>
      <w:pPr>
        <w:spacing w:line="360" w:lineRule="auto"/>
        <w:tabs>
          <w:tab w:val="left" w:pos="525" w:leader="none"/>
          <w:tab w:val="left" w:pos="630" w:leader="none"/>
          <w:tab w:val="left" w:pos="945" w:leader="none"/>
        </w:tabs>
        <w:rPr>
          <w:rFonts w:ascii="宋体" w:hAnsi="宋体"/>
          <w:color w:val="auto"/>
          <w:sz w:val="24"/>
          <w:highlight w:val="none"/>
        </w:rPr>
      </w:pPr>
      <w:r>
        <w:rPr>
          <w:rFonts w:hint="eastAsia" w:ascii="宋体" w:hAnsi="宋体"/>
          <w:color w:val="auto"/>
          <w:sz w:val="24"/>
          <w:highlight w:val="none"/>
        </w:rPr>
        <w:t xml:space="preserve">法定代表人或授权代表（签字或盖章）：</w:t>
      </w:r>
      <w:r/>
    </w:p>
    <w:p>
      <w:pPr>
        <w:spacing w:line="360" w:lineRule="auto"/>
        <w:tabs>
          <w:tab w:val="left" w:pos="525" w:leader="none"/>
          <w:tab w:val="left" w:pos="630" w:leader="none"/>
          <w:tab w:val="left" w:pos="945" w:leader="none"/>
        </w:tabs>
        <w:rPr>
          <w:rFonts w:ascii="宋体" w:hAnsi="宋体"/>
          <w:color w:val="auto"/>
          <w:sz w:val="24"/>
          <w:highlight w:val="none"/>
        </w:rPr>
      </w:pPr>
      <w:r>
        <w:rPr>
          <w:rFonts w:hint="eastAsia" w:ascii="宋体" w:hAnsi="宋体"/>
          <w:color w:val="auto"/>
          <w:sz w:val="24"/>
          <w:highlight w:val="none"/>
        </w:rPr>
        <w:t xml:space="preserve">日期：</w:t>
      </w:r>
      <w:r/>
    </w:p>
    <w:p>
      <w:pPr>
        <w:rPr>
          <w:rFonts w:ascii="宋体" w:hAnsi="宋体" w:cs="宋体"/>
          <w:b/>
          <w:bCs/>
          <w:color w:val="auto"/>
          <w:highlight w:val="none"/>
        </w:rPr>
      </w:pPr>
      <w:r>
        <w:rPr>
          <w:rFonts w:hint="eastAsia" w:ascii="宋体" w:hAnsi="宋体" w:cs="宋体"/>
          <w:b/>
          <w:bCs/>
          <w:color w:val="auto"/>
          <w:highlight w:val="none"/>
        </w:rPr>
        <w:br w:type="page" w:clear="all"/>
      </w:r>
      <w:r/>
    </w:p>
    <w:p>
      <w:pPr>
        <w:rPr>
          <w:rFonts w:ascii="宋体" w:hAnsi="宋体" w:cs="宋体"/>
          <w:b/>
          <w:bCs/>
          <w:color w:val="auto"/>
          <w:highlight w:val="none"/>
        </w:rPr>
      </w:pPr>
      <w:r>
        <w:rPr>
          <w:rFonts w:hint="eastAsia" w:ascii="宋体" w:hAnsi="宋体" w:cs="宋体"/>
          <w:b/>
          <w:bCs/>
          <w:color w:val="auto"/>
          <w:highlight w:val="none"/>
        </w:rPr>
        <w:t xml:space="preserve">附件</w:t>
      </w:r>
      <w:bookmarkStart w:id="147" w:name="_Toc528398513"/>
      <w:r/>
      <w:bookmarkEnd w:id="147"/>
      <w:r>
        <w:rPr>
          <w:rFonts w:hint="eastAsia" w:ascii="宋体" w:hAnsi="宋体" w:cs="宋体"/>
          <w:b/>
          <w:bCs/>
          <w:color w:val="auto"/>
          <w:highlight w:val="none"/>
        </w:rPr>
        <w:t xml:space="preserve">9：</w:t>
      </w:r>
      <w:r/>
    </w:p>
    <w:p>
      <w:pPr>
        <w:jc w:val="center"/>
        <w:rPr>
          <w:b/>
          <w:bCs/>
          <w:color w:val="auto"/>
          <w:sz w:val="28"/>
          <w:szCs w:val="28"/>
          <w:highlight w:val="none"/>
        </w:rPr>
      </w:pPr>
      <w:r>
        <w:rPr>
          <w:rFonts w:hint="eastAsia"/>
          <w:b/>
          <w:bCs/>
          <w:color w:val="auto"/>
          <w:sz w:val="28"/>
          <w:szCs w:val="28"/>
          <w:highlight w:val="none"/>
        </w:rPr>
        <w:t xml:space="preserve">中小企业声明函</w:t>
      </w:r>
      <w:r/>
    </w:p>
    <w:p>
      <w:pPr>
        <w:ind w:firstLine="720"/>
        <w:jc w:val="left"/>
        <w:spacing w:line="480" w:lineRule="auto"/>
        <w:rPr>
          <w:rFonts w:ascii="宋体" w:hAnsi="宋体" w:cs="宋体"/>
          <w:color w:val="auto"/>
          <w:sz w:val="24"/>
          <w:highlight w:val="none"/>
        </w:rPr>
      </w:pPr>
      <w:r>
        <w:rPr>
          <w:rFonts w:hint="eastAsia" w:ascii="宋体" w:hAnsi="宋体" w:cs="宋体"/>
          <w:color w:val="auto"/>
          <w:sz w:val="24"/>
          <w:highlight w:val="none"/>
        </w:rPr>
        <w:t xml:space="preserve">本公司（联合体）郑重声明，根据《政府采购促进中小企业发展管理办法》（财库﹝2020﹞46号）的规定，本公司（联合体）参加</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采购活动，服务全部由符合政策要求的中小企业承接。相关企业（含联合体中的中小企业、签订分包意向协议的中小企业）的具体情况如下：</w:t>
      </w:r>
      <w:r/>
    </w:p>
    <w:p>
      <w:pPr>
        <w:ind w:firstLine="480"/>
        <w:jc w:val="left"/>
        <w:spacing w:line="480" w:lineRule="auto"/>
        <w:rPr>
          <w:rFonts w:ascii="宋体" w:hAnsi="宋体" w:cs="宋体"/>
          <w:color w:val="auto"/>
          <w:sz w:val="24"/>
          <w:highlight w:val="none"/>
          <w:u w:val="single"/>
        </w:rPr>
      </w:pPr>
      <w:r>
        <w:rPr>
          <w:rFonts w:hint="eastAsia" w:ascii="宋体" w:hAnsi="宋体" w:cs="宋体"/>
          <w:color w:val="auto"/>
          <w:sz w:val="24"/>
          <w:highlight w:val="none"/>
        </w:rPr>
        <w:t xml:space="preserve">1. </w:t>
      </w:r>
      <w:r>
        <w:rPr>
          <w:rFonts w:hint="eastAsia" w:ascii="宋体" w:hAnsi="宋体" w:cs="宋体"/>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（采购文件中明确的所属行业）</w:t>
      </w:r>
      <w:r>
        <w:rPr>
          <w:rFonts w:hint="eastAsia" w:ascii="宋体" w:hAnsi="宋体" w:cs="宋体"/>
          <w:color w:val="auto"/>
          <w:sz w:val="24"/>
          <w:highlight w:val="none"/>
        </w:rPr>
        <w:t xml:space="preserve">；承建（承接）企业为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ind w:firstLine="480"/>
        <w:jc w:val="left"/>
        <w:spacing w:line="480" w:lineRule="auto"/>
        <w:rPr>
          <w:rFonts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jc w:val="left"/>
        <w:spacing w:line="480" w:lineRule="auto"/>
        <w:rPr>
          <w:rFonts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jc w:val="left"/>
        <w:spacing w:line="480" w:lineRule="auto"/>
        <w:rPr>
          <w:rFonts w:ascii="宋体" w:hAnsi="宋体" w:cs="宋体"/>
          <w:color w:val="auto"/>
          <w:sz w:val="24"/>
          <w:highlight w:val="none"/>
        </w:rPr>
      </w:pPr>
      <w:r>
        <w:rPr>
          <w:rFonts w:ascii="宋体" w:hAnsi="宋体" w:cs="宋体"/>
          <w:color w:val="auto"/>
          <w:sz w:val="24"/>
          <w:highlight w:val="none"/>
        </w:rPr>
      </w:r>
      <w:r/>
    </w:p>
    <w:p>
      <w:pPr>
        <w:ind w:firstLine="3840"/>
        <w:jc w:val="left"/>
        <w:spacing w:line="480" w:lineRule="auto"/>
        <w:rPr>
          <w:rFonts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jc w:val="center"/>
        <w:spacing w:line="480" w:lineRule="auto"/>
        <w:rPr>
          <w:rFonts w:ascii="宋体" w:hAnsi="宋体" w:cs="宋体"/>
          <w:color w:val="auto"/>
          <w:sz w:val="24"/>
          <w:highlight w:val="none"/>
        </w:rPr>
      </w:pPr>
      <w:r/>
      <w:bookmarkStart w:id="152" w:name="_GoBack"/>
      <w:r/>
      <w:bookmarkEnd w:id="152"/>
      <w:r>
        <w:rPr>
          <w:rFonts w:hint="eastAsia" w:ascii="宋体" w:hAnsi="宋体" w:cs="宋体"/>
          <w:color w:val="auto"/>
          <w:sz w:val="24"/>
          <w:highlight w:val="none"/>
        </w:rPr>
        <w:t xml:space="preserve">日期：</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（备注：1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参照《关于印发中小企业划型标准规定的通知》（工信部联企业【2011】300号）文件，本项目所属行业为</w:t>
      </w:r>
      <w:r>
        <w:rPr>
          <w:rFonts w:hint="eastAsia" w:ascii="宋体" w:hAnsi="宋体" w:cs="宋体"/>
          <w:b/>
          <w:bCs/>
          <w:color w:val="auto"/>
          <w:sz w:val="24"/>
          <w:highlight w:val="none"/>
          <w:u w:val="single"/>
        </w:rPr>
        <w:t xml:space="preserve">其他未列明行业</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请如实填写属于中型企业或小型企业或微型企业的情况。3</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从业人员、营业收入、资产总额填报上一年度数据，无上一年度数据的新成立企业可不填报。）</w:t>
      </w:r>
      <w:r/>
    </w:p>
    <w:p>
      <w:pPr>
        <w:rPr>
          <w:rFonts w:ascii="宋体" w:hAnsi="宋体" w:cs="宋体"/>
          <w:color w:val="auto"/>
          <w:szCs w:val="21"/>
          <w:highlight w:val="none"/>
        </w:rPr>
      </w:pPr>
      <w:r>
        <w:rPr>
          <w:rFonts w:hint="eastAsia" w:ascii="宋体" w:hAnsi="宋体" w:cs="宋体"/>
          <w:color w:val="auto"/>
          <w:szCs w:val="21"/>
          <w:highlight w:val="none"/>
        </w:rPr>
        <w:t xml:space="preserve"> </w:t>
      </w:r>
      <w:r/>
    </w:p>
    <w:p>
      <w:pPr>
        <w:rPr>
          <w:rFonts w:ascii="宋体" w:hAnsi="宋体"/>
          <w:color w:val="auto"/>
          <w:sz w:val="32"/>
          <w:szCs w:val="32"/>
          <w:highlight w:val="none"/>
        </w:rPr>
      </w:pPr>
      <w:r>
        <w:rPr>
          <w:rFonts w:hint="eastAsia" w:ascii="宋体" w:hAnsi="宋体" w:cs="宋体"/>
          <w:color w:val="auto"/>
          <w:szCs w:val="21"/>
          <w:highlight w:val="none"/>
        </w:rPr>
        <w:t xml:space="preserve"> </w:t>
      </w:r>
      <w:r/>
    </w:p>
    <w:p>
      <w:pPr>
        <w:ind w:firstLine="645"/>
        <w:rPr>
          <w:rFonts w:ascii="宋体" w:hAnsi="宋体"/>
          <w:color w:val="auto"/>
          <w:sz w:val="32"/>
          <w:szCs w:val="32"/>
          <w:highlight w:val="none"/>
        </w:rPr>
      </w:pPr>
      <w:r>
        <w:rPr>
          <w:rFonts w:hint="eastAsia" w:ascii="宋体" w:hAnsi="宋体"/>
          <w:color w:val="auto"/>
          <w:sz w:val="32"/>
          <w:szCs w:val="32"/>
          <w:highlight w:val="none"/>
        </w:rPr>
        <w:t xml:space="preserve"> </w:t>
      </w:r>
      <w:r/>
    </w:p>
    <w:p>
      <w:pPr>
        <w:spacing w:line="440" w:lineRule="exact"/>
        <w:rPr>
          <w:rFonts w:ascii="宋体" w:hAnsi="宋体" w:cs="宋体"/>
          <w:b/>
          <w:bCs/>
          <w:color w:val="auto"/>
          <w:szCs w:val="21"/>
          <w:highlight w:val="none"/>
        </w:rPr>
        <w:sectPr>
          <w:footerReference w:type="default" r:id="rId16"/>
          <w:footerReference w:type="first" r:id="rId17"/>
          <w:footnotePr/>
          <w:endnotePr/>
          <w:type w:val="nextPage"/>
          <w:pgSz w:w="11906" w:h="16838" w:orient="portrait"/>
          <w:pgMar w:top="1015" w:right="1196" w:bottom="868" w:left="1259" w:header="851" w:footer="907" w:gutter="0"/>
          <w:cols w:num="1" w:sep="0" w:space="720" w:equalWidth="1"/>
          <w:docGrid w:linePitch="360"/>
          <w:titlePg/>
        </w:sectPr>
        <w:outlineLvl w:val="0"/>
      </w:pPr>
      <w:r>
        <w:rPr>
          <w:rFonts w:ascii="宋体" w:hAnsi="宋体" w:cs="宋体"/>
          <w:b/>
          <w:bCs/>
          <w:color w:val="auto"/>
          <w:szCs w:val="21"/>
          <w:highlight w:val="none"/>
        </w:rPr>
      </w:r>
      <w:r/>
    </w:p>
    <w:p>
      <w:pPr>
        <w:jc w:val="center"/>
        <w:rPr>
          <w:b/>
          <w:bCs/>
          <w:color w:val="auto"/>
          <w:sz w:val="28"/>
          <w:szCs w:val="28"/>
          <w:highlight w:val="none"/>
        </w:rPr>
      </w:pPr>
      <w:r>
        <w:rPr>
          <w:rFonts w:hint="eastAsia"/>
          <w:b/>
          <w:bCs/>
          <w:color w:val="auto"/>
          <w:sz w:val="28"/>
          <w:szCs w:val="28"/>
          <w:highlight w:val="none"/>
        </w:rPr>
        <w:t xml:space="preserve">残疾人福利性单位声明函</w:t>
      </w:r>
      <w:r/>
    </w:p>
    <w:p>
      <w:pPr>
        <w:ind w:firstLine="420"/>
        <w:spacing w:line="588" w:lineRule="exact"/>
        <w:rPr>
          <w:rFonts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项目采购活动。</w:t>
      </w:r>
      <w:r/>
    </w:p>
    <w:p>
      <w:pPr>
        <w:ind w:firstLine="420"/>
        <w:spacing w:line="588" w:lineRule="exact"/>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ind w:firstLine="420"/>
        <w:spacing w:line="588" w:lineRule="exact"/>
        <w:rPr>
          <w:rFonts w:ascii="宋体" w:hAnsi="宋体"/>
          <w:color w:val="auto"/>
          <w:sz w:val="24"/>
          <w:highlight w:val="none"/>
        </w:rPr>
      </w:pPr>
      <w:r>
        <w:rPr>
          <w:rFonts w:ascii="宋体" w:hAnsi="宋体"/>
          <w:color w:val="auto"/>
          <w:sz w:val="24"/>
          <w:highlight w:val="none"/>
        </w:rPr>
      </w:r>
      <w:r/>
    </w:p>
    <w:p>
      <w:pPr>
        <w:ind w:firstLine="420"/>
        <w:spacing w:line="588" w:lineRule="exact"/>
        <w:rPr>
          <w:rFonts w:ascii="宋体" w:hAnsi="宋体"/>
          <w:color w:val="auto"/>
          <w:sz w:val="24"/>
          <w:highlight w:val="none"/>
        </w:rPr>
      </w:pPr>
      <w:r>
        <w:rPr>
          <w:rFonts w:hint="eastAsia" w:ascii="宋体" w:hAnsi="宋体"/>
          <w:color w:val="auto"/>
          <w:sz w:val="24"/>
          <w:highlight w:val="none"/>
        </w:rPr>
        <w:t xml:space="preserve">（备注：1</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供应商如不提供此声明函，价格将不作相应扣除。2</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成交供应商为残疾人福利单位的，此声明函将随中标结果同时公告，接受社会监督）</w:t>
      </w:r>
      <w:r/>
    </w:p>
    <w:p>
      <w:pPr>
        <w:ind w:firstLine="444"/>
        <w:spacing w:line="588" w:lineRule="exact"/>
        <w:rPr>
          <w:rFonts w:ascii="仿宋_GB2312" w:eastAsia="仿宋_GB2312"/>
          <w:color w:val="auto"/>
          <w:spacing w:val="6"/>
          <w:sz w:val="24"/>
          <w:highlight w:val="none"/>
        </w:rPr>
      </w:pPr>
      <w:r>
        <w:rPr>
          <w:rFonts w:ascii="仿宋_GB2312" w:eastAsia="仿宋_GB2312"/>
          <w:color w:val="auto"/>
          <w:spacing w:val="6"/>
          <w:sz w:val="24"/>
          <w:highlight w:val="none"/>
        </w:rPr>
      </w:r>
      <w:r/>
    </w:p>
    <w:p>
      <w:pPr>
        <w:ind w:right="1560" w:firstLine="444"/>
        <w:jc w:val="center"/>
        <w:spacing w:line="588" w:lineRule="exact"/>
        <w:tabs>
          <w:tab w:val="left" w:pos="4860" w:leader="none"/>
        </w:tabs>
        <w:rPr>
          <w:rFonts w:ascii="宋体" w:hAnsi="宋体"/>
          <w:color w:val="auto"/>
          <w:sz w:val="24"/>
          <w:highlight w:val="none"/>
        </w:rPr>
      </w:pPr>
      <w:r>
        <w:rPr>
          <w:rFonts w:hint="eastAsia" w:ascii="仿宋_GB2312" w:eastAsia="仿宋_GB2312"/>
          <w:color w:val="auto"/>
          <w:spacing w:val="6"/>
          <w:sz w:val="24"/>
          <w:highlight w:val="none"/>
        </w:rPr>
        <w:t xml:space="preserve">             </w:t>
      </w:r>
      <w:r>
        <w:rPr>
          <w:rFonts w:hint="eastAsia" w:ascii="宋体" w:hAnsi="宋体"/>
          <w:color w:val="auto"/>
          <w:sz w:val="24"/>
          <w:highlight w:val="none"/>
        </w:rPr>
        <w:t xml:space="preserve">                供应商全称（加盖CA电子公章）：</w:t>
      </w:r>
      <w:r/>
    </w:p>
    <w:p>
      <w:pPr>
        <w:rPr>
          <w:color w:val="auto"/>
          <w:highlight w:val="none"/>
        </w:rPr>
      </w:pPr>
      <w:r>
        <w:rPr>
          <w:rFonts w:hint="eastAsia"/>
          <w:color w:val="auto"/>
          <w:sz w:val="24"/>
          <w:highlight w:val="none"/>
        </w:rPr>
        <w:t xml:space="preserve">                                              日  期：</w:t>
      </w:r>
      <w:r/>
    </w:p>
    <w:p>
      <w:pPr>
        <w:rPr>
          <w:color w:val="auto"/>
          <w:highlight w:val="none"/>
        </w:rPr>
      </w:pPr>
      <w:r>
        <w:rPr>
          <w:color w:val="auto"/>
          <w:highlight w:val="none"/>
        </w:rPr>
      </w:r>
      <w:r/>
    </w:p>
    <w:p>
      <w:pPr>
        <w:rPr>
          <w:rFonts w:ascii="宋体" w:hAnsi="宋体"/>
          <w:color w:val="auto"/>
          <w:szCs w:val="21"/>
          <w:highlight w:val="none"/>
        </w:rPr>
      </w:pPr>
      <w:r>
        <w:rPr>
          <w:rFonts w:ascii="宋体" w:hAnsi="宋体"/>
          <w:color w:val="auto"/>
          <w:szCs w:val="21"/>
          <w:highlight w:val="none"/>
        </w:rPr>
      </w:r>
      <w:r/>
    </w:p>
    <w:p>
      <w:pPr>
        <w:jc w:val="center"/>
        <w:rPr>
          <w:b/>
          <w:bCs/>
          <w:color w:val="auto"/>
          <w:sz w:val="28"/>
          <w:szCs w:val="28"/>
          <w:highlight w:val="none"/>
        </w:rPr>
      </w:pPr>
      <w:r>
        <w:rPr>
          <w:rFonts w:hint="eastAsia"/>
          <w:b/>
          <w:bCs/>
          <w:color w:val="auto"/>
          <w:sz w:val="28"/>
          <w:szCs w:val="28"/>
          <w:highlight w:val="none"/>
        </w:rPr>
        <w:t xml:space="preserve">属于监狱企业的证明文件</w:t>
      </w:r>
      <w:r/>
    </w:p>
    <w:p>
      <w:pPr>
        <w:pStyle w:val="977"/>
        <w:rPr>
          <w:color w:val="auto"/>
          <w:highlight w:val="none"/>
        </w:rPr>
      </w:pPr>
      <w:r>
        <w:rPr>
          <w:color w:val="auto"/>
          <w:highlight w:val="none"/>
        </w:rPr>
      </w:r>
      <w:r/>
    </w:p>
    <w:p>
      <w:pPr>
        <w:pStyle w:val="977"/>
        <w:rPr>
          <w:rFonts w:ascii="Times New Roman" w:hAnsi="Times New Roman" w:eastAsia="宋体"/>
          <w:color w:val="auto"/>
          <w:sz w:val="24"/>
          <w:szCs w:val="21"/>
          <w:highlight w:val="none"/>
        </w:rPr>
      </w:pPr>
      <w:r>
        <w:rPr>
          <w:rFonts w:hint="eastAsia" w:ascii="Times New Roman" w:hAnsi="Times New Roman" w:eastAsia="宋体"/>
          <w:color w:val="auto"/>
          <w:sz w:val="24"/>
          <w:szCs w:val="21"/>
          <w:highlight w:val="none"/>
        </w:rPr>
        <w:t xml:space="preserve">（提供由省级以上监狱管理局、戒毒管理局(含新疆生产建设兵团)出具的属于监狱企业的证明文件）</w:t>
      </w:r>
      <w:r/>
    </w:p>
    <w:p>
      <w:pPr>
        <w:pStyle w:val="978"/>
        <w:rPr>
          <w:color w:val="auto"/>
          <w:highlight w:val="none"/>
        </w:rPr>
      </w:pPr>
      <w:r>
        <w:rPr>
          <w:color w:val="auto"/>
          <w:highlight w:val="none"/>
        </w:rPr>
      </w:r>
      <w:r/>
    </w:p>
    <w:p>
      <w:pPr>
        <w:pStyle w:val="978"/>
        <w:rPr>
          <w:color w:val="auto"/>
          <w:highlight w:val="none"/>
        </w:rPr>
      </w:pPr>
      <w:r>
        <w:rPr>
          <w:color w:val="auto"/>
          <w:highlight w:val="none"/>
        </w:rPr>
      </w:r>
      <w:r/>
    </w:p>
    <w:p>
      <w:pPr>
        <w:ind w:firstLine="562"/>
        <w:jc w:val="center"/>
        <w:spacing w:line="46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562"/>
        <w:jc w:val="center"/>
        <w:spacing w:line="46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562"/>
        <w:jc w:val="center"/>
        <w:spacing w:line="46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562"/>
        <w:jc w:val="center"/>
        <w:spacing w:line="46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978"/>
        <w:rPr>
          <w:strike/>
          <w:color w:val="auto"/>
          <w:highlight w:val="none"/>
        </w:rPr>
        <w:sectPr>
          <w:footerReference w:type="first" r:id="rId18"/>
          <w:footnotePr/>
          <w:endnotePr/>
          <w:type w:val="nextPage"/>
          <w:pgSz w:w="11906" w:h="16838" w:orient="portrait"/>
          <w:pgMar w:top="1015" w:right="1196" w:bottom="868" w:left="1259" w:header="851" w:footer="907" w:gutter="0"/>
          <w:cols w:num="1" w:sep="0" w:space="720" w:equalWidth="1"/>
          <w:docGrid w:linePitch="360"/>
          <w:titlePg/>
        </w:sectPr>
      </w:pPr>
      <w:r>
        <w:rPr>
          <w:strike/>
          <w:color w:val="auto"/>
          <w:highlight w:val="none"/>
        </w:rPr>
      </w:r>
      <w:r/>
    </w:p>
    <w:p>
      <w:pPr>
        <w:rPr>
          <w:rFonts w:ascii="宋体" w:hAnsi="宋体" w:cs="宋体"/>
          <w:b/>
          <w:bCs/>
          <w:color w:val="auto"/>
          <w:highlight w:val="none"/>
        </w:rPr>
      </w:pPr>
      <w:r>
        <w:rPr>
          <w:rFonts w:hint="eastAsia" w:ascii="宋体" w:hAnsi="宋体" w:cs="宋体"/>
          <w:b/>
          <w:bCs/>
          <w:color w:val="auto"/>
          <w:highlight w:val="none"/>
        </w:rPr>
        <w:t xml:space="preserve">附件10：</w:t>
      </w:r>
      <w:r/>
    </w:p>
    <w:p>
      <w:pPr>
        <w:jc w:val="center"/>
        <w:rPr>
          <w:rFonts w:ascii="宋体" w:hAnsi="宋体" w:cs="宋体"/>
          <w:b/>
          <w:color w:val="auto"/>
          <w:sz w:val="28"/>
          <w:szCs w:val="28"/>
          <w:highlight w:val="none"/>
        </w:rPr>
      </w:pPr>
      <w:r>
        <w:rPr>
          <w:rFonts w:hint="eastAsia" w:ascii="宋体" w:hAnsi="宋体" w:cs="宋体"/>
          <w:b/>
          <w:bCs/>
          <w:color w:val="auto"/>
          <w:sz w:val="28"/>
          <w:szCs w:val="28"/>
          <w:highlight w:val="none"/>
        </w:rPr>
        <w:t xml:space="preserve">拟派本项目人员一览表</w:t>
      </w:r>
      <w:r/>
    </w:p>
    <w:tbl>
      <w:tblPr>
        <w:tblStyle w:val="975"/>
        <w:tblW w:w="90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1501"/>
        <w:gridCol w:w="710"/>
        <w:gridCol w:w="2127"/>
        <w:gridCol w:w="1846"/>
        <w:gridCol w:w="1136"/>
        <w:gridCol w:w="1130"/>
      </w:tblGrid>
      <w:tr>
        <w:trPr>
          <w:jc w:val="center"/>
          <w:trHeight w:val="682"/>
        </w:trPr>
        <w:tc>
          <w:tcPr>
            <w:tcW w:w="562" w:type="dxa"/>
            <w:vAlign w:val="center"/>
            <w:textDirection w:val="lrTb"/>
            <w:noWrap w:val="false"/>
          </w:tcPr>
          <w:p>
            <w:pPr>
              <w:jc w:val="center"/>
              <w:spacing w:line="500" w:lineRule="atLeast"/>
              <w:rPr>
                <w:rFonts w:ascii="宋体" w:hAnsi="宋体"/>
                <w:b/>
                <w:bCs/>
                <w:color w:val="auto"/>
                <w:szCs w:val="21"/>
                <w:highlight w:val="none"/>
              </w:rPr>
            </w:pPr>
            <w:r>
              <w:rPr>
                <w:rFonts w:hint="eastAsia" w:ascii="宋体" w:hAnsi="宋体"/>
                <w:b/>
                <w:bCs/>
                <w:color w:val="auto"/>
                <w:szCs w:val="21"/>
                <w:highlight w:val="none"/>
              </w:rPr>
              <w:t xml:space="preserve">序号</w:t>
            </w:r>
            <w:r/>
          </w:p>
        </w:tc>
        <w:tc>
          <w:tcPr>
            <w:tcW w:w="1501" w:type="dxa"/>
            <w:vAlign w:val="center"/>
            <w:textDirection w:val="lrTb"/>
            <w:noWrap w:val="false"/>
          </w:tcPr>
          <w:p>
            <w:pPr>
              <w:jc w:val="center"/>
              <w:spacing w:line="500" w:lineRule="atLeast"/>
              <w:rPr>
                <w:rFonts w:ascii="宋体" w:hAnsi="宋体"/>
                <w:b/>
                <w:bCs/>
                <w:color w:val="auto"/>
                <w:szCs w:val="21"/>
                <w:highlight w:val="none"/>
              </w:rPr>
            </w:pPr>
            <w:r>
              <w:rPr>
                <w:rFonts w:hint="eastAsia" w:ascii="宋体" w:hAnsi="宋体"/>
                <w:b/>
                <w:bCs/>
                <w:color w:val="auto"/>
                <w:szCs w:val="21"/>
                <w:highlight w:val="none"/>
              </w:rPr>
              <w:t xml:space="preserve">姓  名</w:t>
            </w:r>
            <w:r/>
          </w:p>
        </w:tc>
        <w:tc>
          <w:tcPr>
            <w:tcW w:w="710" w:type="dxa"/>
            <w:vAlign w:val="center"/>
            <w:textDirection w:val="lrTb"/>
            <w:noWrap w:val="false"/>
          </w:tcPr>
          <w:p>
            <w:pPr>
              <w:jc w:val="center"/>
              <w:spacing w:line="500" w:lineRule="atLeast"/>
              <w:rPr>
                <w:rFonts w:ascii="宋体" w:hAnsi="宋体"/>
                <w:b/>
                <w:bCs/>
                <w:color w:val="auto"/>
                <w:szCs w:val="21"/>
                <w:highlight w:val="none"/>
              </w:rPr>
            </w:pPr>
            <w:r>
              <w:rPr>
                <w:rFonts w:hint="eastAsia" w:ascii="宋体" w:hAnsi="宋体"/>
                <w:b/>
                <w:bCs/>
                <w:color w:val="auto"/>
                <w:szCs w:val="21"/>
                <w:highlight w:val="none"/>
              </w:rPr>
              <w:t xml:space="preserve">年龄</w:t>
            </w:r>
            <w:r/>
          </w:p>
        </w:tc>
        <w:tc>
          <w:tcPr>
            <w:tcW w:w="2127" w:type="dxa"/>
            <w:vAlign w:val="center"/>
            <w:textDirection w:val="lrTb"/>
            <w:noWrap w:val="false"/>
          </w:tcPr>
          <w:p>
            <w:pPr>
              <w:ind w:firstLine="422"/>
              <w:jc w:val="center"/>
              <w:spacing w:line="500" w:lineRule="atLeast"/>
              <w:rPr>
                <w:rFonts w:ascii="宋体" w:hAnsi="宋体"/>
                <w:b/>
                <w:bCs/>
                <w:color w:val="auto"/>
                <w:szCs w:val="21"/>
                <w:highlight w:val="none"/>
              </w:rPr>
            </w:pPr>
            <w:r>
              <w:rPr>
                <w:rFonts w:hint="eastAsia" w:ascii="宋体" w:hAnsi="宋体"/>
                <w:b/>
                <w:bCs/>
                <w:color w:val="auto"/>
                <w:szCs w:val="21"/>
                <w:highlight w:val="none"/>
              </w:rPr>
              <w:t xml:space="preserve">身份证号码</w:t>
            </w:r>
            <w:r/>
          </w:p>
        </w:tc>
        <w:tc>
          <w:tcPr>
            <w:tcW w:w="1846" w:type="dxa"/>
            <w:vAlign w:val="center"/>
            <w:textDirection w:val="lrTb"/>
            <w:noWrap w:val="false"/>
          </w:tcPr>
          <w:p>
            <w:pPr>
              <w:jc w:val="center"/>
              <w:spacing w:line="500" w:lineRule="atLeast"/>
              <w:rPr>
                <w:rFonts w:ascii="宋体" w:hAnsi="宋体"/>
                <w:b/>
                <w:bCs/>
                <w:color w:val="auto"/>
                <w:szCs w:val="21"/>
                <w:highlight w:val="none"/>
              </w:rPr>
            </w:pPr>
            <w:r>
              <w:rPr>
                <w:rFonts w:hint="eastAsia" w:ascii="宋体" w:hAnsi="宋体"/>
                <w:b/>
                <w:bCs/>
                <w:color w:val="auto"/>
                <w:szCs w:val="21"/>
                <w:highlight w:val="none"/>
              </w:rPr>
              <w:t xml:space="preserve">职称或技术资格</w:t>
            </w:r>
            <w:r/>
          </w:p>
        </w:tc>
        <w:tc>
          <w:tcPr>
            <w:tcW w:w="1136" w:type="dxa"/>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本项目中的岗位</w:t>
            </w:r>
            <w:r/>
          </w:p>
        </w:tc>
        <w:tc>
          <w:tcPr>
            <w:tcW w:w="1130" w:type="dxa"/>
            <w:vAlign w:val="center"/>
            <w:textDirection w:val="lrTb"/>
            <w:noWrap w:val="false"/>
          </w:tcPr>
          <w:p>
            <w:pPr>
              <w:ind w:firstLine="211"/>
              <w:jc w:val="center"/>
              <w:rPr>
                <w:rFonts w:ascii="宋体" w:hAnsi="宋体"/>
                <w:b/>
                <w:bCs/>
                <w:color w:val="auto"/>
                <w:szCs w:val="21"/>
                <w:highlight w:val="none"/>
              </w:rPr>
            </w:pPr>
            <w:r>
              <w:rPr>
                <w:rFonts w:hint="eastAsia" w:ascii="宋体" w:hAnsi="宋体"/>
                <w:b/>
                <w:bCs/>
                <w:color w:val="auto"/>
                <w:szCs w:val="21"/>
                <w:highlight w:val="none"/>
              </w:rPr>
              <w:t xml:space="preserve">社保</w:t>
            </w:r>
            <w:r/>
          </w:p>
        </w:tc>
      </w:tr>
      <w:tr>
        <w:trPr>
          <w:jc w:val="center"/>
          <w:trHeight w:val="567"/>
        </w:trPr>
        <w:tc>
          <w:tcPr>
            <w:tcW w:w="562" w:type="dxa"/>
            <w:textDirection w:val="lrTb"/>
            <w:noWrap w:val="false"/>
          </w:tcPr>
          <w:p>
            <w:pPr>
              <w:jc w:val="center"/>
              <w:rPr>
                <w:color w:val="auto"/>
                <w:highlight w:val="none"/>
              </w:rPr>
            </w:pPr>
            <w:r>
              <w:rPr>
                <w:color w:val="auto"/>
                <w:highlight w:val="none"/>
              </w:rPr>
            </w:r>
            <w:r/>
          </w:p>
          <w:p>
            <w:pPr>
              <w:jc w:val="center"/>
              <w:rPr>
                <w:color w:val="auto"/>
                <w:highlight w:val="none"/>
              </w:rPr>
            </w:pPr>
            <w:r>
              <w:rPr>
                <w:color w:val="auto"/>
                <w:highlight w:val="none"/>
              </w:rPr>
            </w:r>
            <w:r/>
          </w:p>
        </w:tc>
        <w:tc>
          <w:tcPr>
            <w:tcW w:w="1501" w:type="dxa"/>
            <w:vAlign w:val="center"/>
            <w:textDirection w:val="lrTb"/>
            <w:noWrap w:val="false"/>
          </w:tcPr>
          <w:p>
            <w:pPr>
              <w:jc w:val="center"/>
              <w:rPr>
                <w:color w:val="auto"/>
                <w:highlight w:val="none"/>
              </w:rPr>
            </w:pPr>
            <w:r>
              <w:rPr>
                <w:color w:val="auto"/>
                <w:highlight w:val="none"/>
              </w:rPr>
            </w:r>
            <w:r/>
          </w:p>
          <w:p>
            <w:pPr>
              <w:jc w:val="center"/>
              <w:rPr>
                <w:color w:val="auto"/>
                <w:highlight w:val="none"/>
              </w:rPr>
            </w:pPr>
            <w:r>
              <w:rPr>
                <w:color w:val="auto"/>
                <w:highlight w:val="none"/>
              </w:rPr>
            </w:r>
            <w:r/>
          </w:p>
        </w:tc>
        <w:tc>
          <w:tcPr>
            <w:tcW w:w="710" w:type="dxa"/>
            <w:vAlign w:val="center"/>
            <w:textDirection w:val="lrTb"/>
            <w:noWrap w:val="false"/>
          </w:tcPr>
          <w:p>
            <w:pPr>
              <w:jc w:val="center"/>
              <w:rPr>
                <w:color w:val="auto"/>
                <w:highlight w:val="none"/>
              </w:rPr>
            </w:pPr>
            <w:r>
              <w:rPr>
                <w:color w:val="auto"/>
                <w:highlight w:val="none"/>
              </w:rPr>
            </w:r>
            <w:r/>
          </w:p>
        </w:tc>
        <w:tc>
          <w:tcPr>
            <w:tcW w:w="2127" w:type="dxa"/>
            <w:vAlign w:val="center"/>
            <w:textDirection w:val="lrTb"/>
            <w:noWrap w:val="false"/>
          </w:tcPr>
          <w:p>
            <w:pPr>
              <w:jc w:val="center"/>
              <w:rPr>
                <w:color w:val="auto"/>
                <w:highlight w:val="none"/>
              </w:rPr>
            </w:pPr>
            <w:r>
              <w:rPr>
                <w:color w:val="auto"/>
                <w:highlight w:val="none"/>
              </w:rPr>
            </w:r>
            <w:r/>
          </w:p>
        </w:tc>
        <w:tc>
          <w:tcPr>
            <w:tcW w:w="1846" w:type="dxa"/>
            <w:vAlign w:val="center"/>
            <w:textDirection w:val="lrTb"/>
            <w:noWrap w:val="false"/>
          </w:tcPr>
          <w:p>
            <w:pPr>
              <w:jc w:val="center"/>
              <w:rPr>
                <w:color w:val="auto"/>
                <w:highlight w:val="none"/>
              </w:rPr>
            </w:pPr>
            <w:r>
              <w:rPr>
                <w:color w:val="auto"/>
                <w:highlight w:val="none"/>
              </w:rPr>
            </w:r>
            <w:r/>
          </w:p>
        </w:tc>
        <w:tc>
          <w:tcPr>
            <w:tcW w:w="1136" w:type="dxa"/>
            <w:vAlign w:val="center"/>
            <w:textDirection w:val="lrTb"/>
            <w:noWrap w:val="false"/>
          </w:tcPr>
          <w:p>
            <w:pPr>
              <w:jc w:val="center"/>
              <w:rPr>
                <w:color w:val="auto"/>
                <w:highlight w:val="none"/>
              </w:rPr>
            </w:pPr>
            <w:r>
              <w:rPr>
                <w:rFonts w:hint="eastAsia"/>
                <w:color w:val="auto"/>
                <w:highlight w:val="none"/>
              </w:rPr>
              <w:t xml:space="preserve">项目</w:t>
            </w:r>
            <w:r>
              <w:rPr>
                <w:color w:val="auto"/>
                <w:highlight w:val="none"/>
              </w:rPr>
              <w:t xml:space="preserve">负责人</w:t>
            </w:r>
            <w:r/>
          </w:p>
        </w:tc>
        <w:tc>
          <w:tcPr>
            <w:tcW w:w="1130" w:type="dxa"/>
            <w:textDirection w:val="lrTb"/>
            <w:noWrap w:val="false"/>
          </w:tcPr>
          <w:p>
            <w:pPr>
              <w:jc w:val="center"/>
              <w:rPr>
                <w:color w:val="auto"/>
                <w:highlight w:val="none"/>
              </w:rPr>
            </w:pPr>
            <w:r>
              <w:rPr>
                <w:color w:val="auto"/>
                <w:highlight w:val="none"/>
              </w:rPr>
            </w:r>
            <w:r/>
          </w:p>
        </w:tc>
      </w:tr>
      <w:tr>
        <w:trPr>
          <w:jc w:val="center"/>
          <w:trHeight w:val="567"/>
        </w:trPr>
        <w:tc>
          <w:tcPr>
            <w:tcW w:w="562" w:type="dxa"/>
            <w:textDirection w:val="lrTb"/>
            <w:noWrap w:val="false"/>
          </w:tcPr>
          <w:p>
            <w:pPr>
              <w:jc w:val="center"/>
              <w:rPr>
                <w:color w:val="auto"/>
                <w:highlight w:val="none"/>
              </w:rPr>
            </w:pPr>
            <w:r>
              <w:rPr>
                <w:color w:val="auto"/>
                <w:highlight w:val="none"/>
              </w:rPr>
            </w:r>
            <w:r/>
          </w:p>
        </w:tc>
        <w:tc>
          <w:tcPr>
            <w:tcW w:w="1501" w:type="dxa"/>
            <w:vAlign w:val="center"/>
            <w:textDirection w:val="lrTb"/>
            <w:noWrap w:val="false"/>
          </w:tcPr>
          <w:p>
            <w:pPr>
              <w:jc w:val="center"/>
              <w:rPr>
                <w:color w:val="auto"/>
                <w:highlight w:val="none"/>
              </w:rPr>
            </w:pPr>
            <w:r>
              <w:rPr>
                <w:color w:val="auto"/>
                <w:highlight w:val="none"/>
              </w:rPr>
            </w:r>
            <w:r/>
          </w:p>
        </w:tc>
        <w:tc>
          <w:tcPr>
            <w:tcW w:w="710" w:type="dxa"/>
            <w:vAlign w:val="center"/>
            <w:textDirection w:val="lrTb"/>
            <w:noWrap w:val="false"/>
          </w:tcPr>
          <w:p>
            <w:pPr>
              <w:jc w:val="center"/>
              <w:rPr>
                <w:color w:val="auto"/>
                <w:highlight w:val="none"/>
              </w:rPr>
            </w:pPr>
            <w:r>
              <w:rPr>
                <w:color w:val="auto"/>
                <w:highlight w:val="none"/>
              </w:rPr>
            </w:r>
            <w:r/>
          </w:p>
        </w:tc>
        <w:tc>
          <w:tcPr>
            <w:tcW w:w="2127" w:type="dxa"/>
            <w:vAlign w:val="center"/>
            <w:textDirection w:val="lrTb"/>
            <w:noWrap w:val="false"/>
          </w:tcPr>
          <w:p>
            <w:pPr>
              <w:jc w:val="center"/>
              <w:rPr>
                <w:color w:val="auto"/>
                <w:highlight w:val="none"/>
              </w:rPr>
            </w:pPr>
            <w:r>
              <w:rPr>
                <w:color w:val="auto"/>
                <w:highlight w:val="none"/>
              </w:rPr>
            </w:r>
            <w:r/>
          </w:p>
        </w:tc>
        <w:tc>
          <w:tcPr>
            <w:tcW w:w="1846" w:type="dxa"/>
            <w:vAlign w:val="center"/>
            <w:textDirection w:val="lrTb"/>
            <w:noWrap w:val="false"/>
          </w:tcPr>
          <w:p>
            <w:pPr>
              <w:jc w:val="center"/>
              <w:rPr>
                <w:color w:val="auto"/>
                <w:highlight w:val="none"/>
              </w:rPr>
            </w:pPr>
            <w:r>
              <w:rPr>
                <w:color w:val="auto"/>
                <w:highlight w:val="none"/>
              </w:rPr>
            </w:r>
            <w:r/>
          </w:p>
        </w:tc>
        <w:tc>
          <w:tcPr>
            <w:tcW w:w="1136" w:type="dxa"/>
            <w:vAlign w:val="center"/>
            <w:textDirection w:val="lrTb"/>
            <w:noWrap w:val="false"/>
          </w:tcPr>
          <w:p>
            <w:pPr>
              <w:jc w:val="center"/>
              <w:rPr>
                <w:color w:val="auto"/>
                <w:highlight w:val="none"/>
              </w:rPr>
            </w:pPr>
            <w:r>
              <w:rPr>
                <w:rFonts w:hint="eastAsia"/>
                <w:color w:val="auto"/>
                <w:highlight w:val="none"/>
              </w:rPr>
              <w:t xml:space="preserve">...</w:t>
            </w:r>
            <w:r/>
          </w:p>
        </w:tc>
        <w:tc>
          <w:tcPr>
            <w:tcW w:w="1130" w:type="dxa"/>
            <w:textDirection w:val="lrTb"/>
            <w:noWrap w:val="false"/>
          </w:tcPr>
          <w:p>
            <w:pPr>
              <w:jc w:val="center"/>
              <w:rPr>
                <w:color w:val="auto"/>
                <w:highlight w:val="none"/>
              </w:rPr>
            </w:pPr>
            <w:r>
              <w:rPr>
                <w:color w:val="auto"/>
                <w:highlight w:val="none"/>
              </w:rPr>
            </w:r>
            <w:r/>
          </w:p>
        </w:tc>
      </w:tr>
      <w:tr>
        <w:trPr>
          <w:jc w:val="center"/>
          <w:trHeight w:val="567"/>
        </w:trPr>
        <w:tc>
          <w:tcPr>
            <w:tcW w:w="562" w:type="dxa"/>
            <w:textDirection w:val="lrTb"/>
            <w:noWrap w:val="false"/>
          </w:tcPr>
          <w:p>
            <w:pPr>
              <w:jc w:val="center"/>
              <w:rPr>
                <w:color w:val="auto"/>
                <w:highlight w:val="none"/>
              </w:rPr>
            </w:pPr>
            <w:r>
              <w:rPr>
                <w:color w:val="auto"/>
                <w:highlight w:val="none"/>
              </w:rPr>
            </w:r>
            <w:r/>
          </w:p>
        </w:tc>
        <w:tc>
          <w:tcPr>
            <w:tcW w:w="1501" w:type="dxa"/>
            <w:vAlign w:val="center"/>
            <w:textDirection w:val="lrTb"/>
            <w:noWrap w:val="false"/>
          </w:tcPr>
          <w:p>
            <w:pPr>
              <w:jc w:val="center"/>
              <w:rPr>
                <w:color w:val="auto"/>
                <w:highlight w:val="none"/>
              </w:rPr>
            </w:pPr>
            <w:r>
              <w:rPr>
                <w:color w:val="auto"/>
                <w:highlight w:val="none"/>
              </w:rPr>
            </w:r>
            <w:r/>
          </w:p>
        </w:tc>
        <w:tc>
          <w:tcPr>
            <w:tcW w:w="710" w:type="dxa"/>
            <w:vAlign w:val="center"/>
            <w:textDirection w:val="lrTb"/>
            <w:noWrap w:val="false"/>
          </w:tcPr>
          <w:p>
            <w:pPr>
              <w:jc w:val="center"/>
              <w:rPr>
                <w:color w:val="auto"/>
                <w:highlight w:val="none"/>
              </w:rPr>
            </w:pPr>
            <w:r>
              <w:rPr>
                <w:color w:val="auto"/>
                <w:highlight w:val="none"/>
              </w:rPr>
            </w:r>
            <w:r/>
          </w:p>
        </w:tc>
        <w:tc>
          <w:tcPr>
            <w:tcW w:w="2127" w:type="dxa"/>
            <w:vAlign w:val="center"/>
            <w:textDirection w:val="lrTb"/>
            <w:noWrap w:val="false"/>
          </w:tcPr>
          <w:p>
            <w:pPr>
              <w:jc w:val="center"/>
              <w:rPr>
                <w:color w:val="auto"/>
                <w:highlight w:val="none"/>
              </w:rPr>
            </w:pPr>
            <w:r>
              <w:rPr>
                <w:color w:val="auto"/>
                <w:highlight w:val="none"/>
              </w:rPr>
            </w:r>
            <w:r/>
          </w:p>
        </w:tc>
        <w:tc>
          <w:tcPr>
            <w:tcW w:w="1846" w:type="dxa"/>
            <w:vAlign w:val="center"/>
            <w:textDirection w:val="lrTb"/>
            <w:noWrap w:val="false"/>
          </w:tcPr>
          <w:p>
            <w:pPr>
              <w:jc w:val="center"/>
              <w:rPr>
                <w:color w:val="auto"/>
                <w:highlight w:val="none"/>
              </w:rPr>
            </w:pPr>
            <w:r>
              <w:rPr>
                <w:color w:val="auto"/>
                <w:highlight w:val="none"/>
              </w:rPr>
            </w:r>
            <w:r/>
          </w:p>
        </w:tc>
        <w:tc>
          <w:tcPr>
            <w:tcW w:w="1136" w:type="dxa"/>
            <w:textDirection w:val="lrTb"/>
            <w:noWrap w:val="false"/>
          </w:tcPr>
          <w:p>
            <w:pPr>
              <w:jc w:val="center"/>
              <w:rPr>
                <w:color w:val="auto"/>
                <w:highlight w:val="none"/>
              </w:rPr>
            </w:pPr>
            <w:r>
              <w:rPr>
                <w:color w:val="auto"/>
                <w:highlight w:val="none"/>
              </w:rPr>
            </w:r>
            <w:r/>
          </w:p>
        </w:tc>
        <w:tc>
          <w:tcPr>
            <w:tcW w:w="1130" w:type="dxa"/>
            <w:textDirection w:val="lrTb"/>
            <w:noWrap w:val="false"/>
          </w:tcPr>
          <w:p>
            <w:pPr>
              <w:jc w:val="center"/>
              <w:rPr>
                <w:color w:val="auto"/>
                <w:highlight w:val="none"/>
              </w:rPr>
            </w:pPr>
            <w:r>
              <w:rPr>
                <w:color w:val="auto"/>
                <w:highlight w:val="none"/>
              </w:rPr>
            </w:r>
            <w:r/>
          </w:p>
        </w:tc>
      </w:tr>
      <w:tr>
        <w:trPr>
          <w:jc w:val="center"/>
          <w:trHeight w:val="567"/>
        </w:trPr>
        <w:tc>
          <w:tcPr>
            <w:tcW w:w="562" w:type="dxa"/>
            <w:textDirection w:val="lrTb"/>
            <w:noWrap w:val="false"/>
          </w:tcPr>
          <w:p>
            <w:pPr>
              <w:jc w:val="center"/>
              <w:rPr>
                <w:color w:val="auto"/>
                <w:highlight w:val="none"/>
              </w:rPr>
            </w:pPr>
            <w:r>
              <w:rPr>
                <w:color w:val="auto"/>
                <w:highlight w:val="none"/>
              </w:rPr>
            </w:r>
            <w:r/>
          </w:p>
        </w:tc>
        <w:tc>
          <w:tcPr>
            <w:tcW w:w="1501" w:type="dxa"/>
            <w:vAlign w:val="center"/>
            <w:textDirection w:val="lrTb"/>
            <w:noWrap w:val="false"/>
          </w:tcPr>
          <w:p>
            <w:pPr>
              <w:jc w:val="center"/>
              <w:rPr>
                <w:color w:val="auto"/>
                <w:highlight w:val="none"/>
              </w:rPr>
            </w:pPr>
            <w:r>
              <w:rPr>
                <w:color w:val="auto"/>
                <w:highlight w:val="none"/>
              </w:rPr>
            </w:r>
            <w:r/>
          </w:p>
        </w:tc>
        <w:tc>
          <w:tcPr>
            <w:tcW w:w="710" w:type="dxa"/>
            <w:vAlign w:val="center"/>
            <w:textDirection w:val="lrTb"/>
            <w:noWrap w:val="false"/>
          </w:tcPr>
          <w:p>
            <w:pPr>
              <w:jc w:val="center"/>
              <w:rPr>
                <w:color w:val="auto"/>
                <w:highlight w:val="none"/>
              </w:rPr>
            </w:pPr>
            <w:r>
              <w:rPr>
                <w:color w:val="auto"/>
                <w:highlight w:val="none"/>
              </w:rPr>
            </w:r>
            <w:r/>
          </w:p>
        </w:tc>
        <w:tc>
          <w:tcPr>
            <w:tcW w:w="2127" w:type="dxa"/>
            <w:vAlign w:val="center"/>
            <w:textDirection w:val="lrTb"/>
            <w:noWrap w:val="false"/>
          </w:tcPr>
          <w:p>
            <w:pPr>
              <w:jc w:val="center"/>
              <w:rPr>
                <w:color w:val="auto"/>
                <w:highlight w:val="none"/>
              </w:rPr>
            </w:pPr>
            <w:r>
              <w:rPr>
                <w:color w:val="auto"/>
                <w:highlight w:val="none"/>
              </w:rPr>
            </w:r>
            <w:r/>
          </w:p>
        </w:tc>
        <w:tc>
          <w:tcPr>
            <w:tcW w:w="1846" w:type="dxa"/>
            <w:vAlign w:val="center"/>
            <w:textDirection w:val="lrTb"/>
            <w:noWrap w:val="false"/>
          </w:tcPr>
          <w:p>
            <w:pPr>
              <w:jc w:val="center"/>
              <w:rPr>
                <w:color w:val="auto"/>
                <w:highlight w:val="none"/>
              </w:rPr>
            </w:pPr>
            <w:r>
              <w:rPr>
                <w:color w:val="auto"/>
                <w:highlight w:val="none"/>
              </w:rPr>
            </w:r>
            <w:r/>
          </w:p>
        </w:tc>
        <w:tc>
          <w:tcPr>
            <w:tcW w:w="1136" w:type="dxa"/>
            <w:textDirection w:val="lrTb"/>
            <w:noWrap w:val="false"/>
          </w:tcPr>
          <w:p>
            <w:pPr>
              <w:jc w:val="center"/>
              <w:rPr>
                <w:color w:val="auto"/>
                <w:highlight w:val="none"/>
              </w:rPr>
            </w:pPr>
            <w:r>
              <w:rPr>
                <w:color w:val="auto"/>
                <w:highlight w:val="none"/>
              </w:rPr>
            </w:r>
            <w:r/>
          </w:p>
        </w:tc>
        <w:tc>
          <w:tcPr>
            <w:tcW w:w="1130" w:type="dxa"/>
            <w:textDirection w:val="lrTb"/>
            <w:noWrap w:val="false"/>
          </w:tcPr>
          <w:p>
            <w:pPr>
              <w:jc w:val="center"/>
              <w:rPr>
                <w:color w:val="auto"/>
                <w:highlight w:val="none"/>
              </w:rPr>
            </w:pPr>
            <w:r>
              <w:rPr>
                <w:color w:val="auto"/>
                <w:highlight w:val="none"/>
              </w:rPr>
            </w:r>
            <w:r/>
          </w:p>
        </w:tc>
      </w:tr>
      <w:tr>
        <w:trPr>
          <w:jc w:val="center"/>
          <w:trHeight w:val="567"/>
        </w:trPr>
        <w:tc>
          <w:tcPr>
            <w:tcW w:w="562" w:type="dxa"/>
            <w:textDirection w:val="lrTb"/>
            <w:noWrap w:val="false"/>
          </w:tcPr>
          <w:p>
            <w:pPr>
              <w:jc w:val="center"/>
              <w:rPr>
                <w:color w:val="auto"/>
                <w:highlight w:val="none"/>
              </w:rPr>
            </w:pPr>
            <w:r>
              <w:rPr>
                <w:color w:val="auto"/>
                <w:highlight w:val="none"/>
              </w:rPr>
            </w:r>
            <w:r/>
          </w:p>
        </w:tc>
        <w:tc>
          <w:tcPr>
            <w:tcW w:w="1501" w:type="dxa"/>
            <w:vAlign w:val="center"/>
            <w:textDirection w:val="lrTb"/>
            <w:noWrap w:val="false"/>
          </w:tcPr>
          <w:p>
            <w:pPr>
              <w:jc w:val="center"/>
              <w:rPr>
                <w:color w:val="auto"/>
                <w:highlight w:val="none"/>
              </w:rPr>
            </w:pPr>
            <w:r>
              <w:rPr>
                <w:color w:val="auto"/>
                <w:highlight w:val="none"/>
              </w:rPr>
            </w:r>
            <w:r/>
          </w:p>
        </w:tc>
        <w:tc>
          <w:tcPr>
            <w:tcW w:w="710" w:type="dxa"/>
            <w:vAlign w:val="center"/>
            <w:textDirection w:val="lrTb"/>
            <w:noWrap w:val="false"/>
          </w:tcPr>
          <w:p>
            <w:pPr>
              <w:jc w:val="center"/>
              <w:rPr>
                <w:color w:val="auto"/>
                <w:highlight w:val="none"/>
              </w:rPr>
            </w:pPr>
            <w:r>
              <w:rPr>
                <w:color w:val="auto"/>
                <w:highlight w:val="none"/>
              </w:rPr>
            </w:r>
            <w:r/>
          </w:p>
        </w:tc>
        <w:tc>
          <w:tcPr>
            <w:tcW w:w="2127" w:type="dxa"/>
            <w:vAlign w:val="center"/>
            <w:textDirection w:val="lrTb"/>
            <w:noWrap w:val="false"/>
          </w:tcPr>
          <w:p>
            <w:pPr>
              <w:jc w:val="center"/>
              <w:rPr>
                <w:color w:val="auto"/>
                <w:highlight w:val="none"/>
              </w:rPr>
            </w:pPr>
            <w:r>
              <w:rPr>
                <w:color w:val="auto"/>
                <w:highlight w:val="none"/>
              </w:rPr>
            </w:r>
            <w:r/>
          </w:p>
        </w:tc>
        <w:tc>
          <w:tcPr>
            <w:tcW w:w="1846" w:type="dxa"/>
            <w:vAlign w:val="center"/>
            <w:textDirection w:val="lrTb"/>
            <w:noWrap w:val="false"/>
          </w:tcPr>
          <w:p>
            <w:pPr>
              <w:jc w:val="center"/>
              <w:rPr>
                <w:color w:val="auto"/>
                <w:highlight w:val="none"/>
              </w:rPr>
            </w:pPr>
            <w:r>
              <w:rPr>
                <w:color w:val="auto"/>
                <w:highlight w:val="none"/>
              </w:rPr>
            </w:r>
            <w:r/>
          </w:p>
        </w:tc>
        <w:tc>
          <w:tcPr>
            <w:tcW w:w="1136" w:type="dxa"/>
            <w:textDirection w:val="lrTb"/>
            <w:noWrap w:val="false"/>
          </w:tcPr>
          <w:p>
            <w:pPr>
              <w:jc w:val="center"/>
              <w:rPr>
                <w:color w:val="auto"/>
                <w:highlight w:val="none"/>
              </w:rPr>
            </w:pPr>
            <w:r>
              <w:rPr>
                <w:color w:val="auto"/>
                <w:highlight w:val="none"/>
              </w:rPr>
            </w:r>
            <w:r/>
          </w:p>
        </w:tc>
        <w:tc>
          <w:tcPr>
            <w:tcW w:w="1130" w:type="dxa"/>
            <w:textDirection w:val="lrTb"/>
            <w:noWrap w:val="false"/>
          </w:tcPr>
          <w:p>
            <w:pPr>
              <w:jc w:val="center"/>
              <w:rPr>
                <w:color w:val="auto"/>
                <w:highlight w:val="none"/>
              </w:rPr>
            </w:pPr>
            <w:r>
              <w:rPr>
                <w:color w:val="auto"/>
                <w:highlight w:val="none"/>
              </w:rPr>
            </w:r>
            <w:r/>
          </w:p>
        </w:tc>
      </w:tr>
      <w:tr>
        <w:trPr>
          <w:jc w:val="center"/>
          <w:trHeight w:val="567"/>
        </w:trPr>
        <w:tc>
          <w:tcPr>
            <w:tcW w:w="562" w:type="dxa"/>
            <w:textDirection w:val="lrTb"/>
            <w:noWrap w:val="false"/>
          </w:tcPr>
          <w:p>
            <w:pPr>
              <w:jc w:val="center"/>
              <w:rPr>
                <w:color w:val="auto"/>
                <w:highlight w:val="none"/>
              </w:rPr>
            </w:pPr>
            <w:r>
              <w:rPr>
                <w:color w:val="auto"/>
                <w:highlight w:val="none"/>
              </w:rPr>
            </w:r>
            <w:r/>
          </w:p>
        </w:tc>
        <w:tc>
          <w:tcPr>
            <w:tcW w:w="1501" w:type="dxa"/>
            <w:vAlign w:val="center"/>
            <w:textDirection w:val="lrTb"/>
            <w:noWrap w:val="false"/>
          </w:tcPr>
          <w:p>
            <w:pPr>
              <w:jc w:val="center"/>
              <w:rPr>
                <w:color w:val="auto"/>
                <w:highlight w:val="none"/>
              </w:rPr>
            </w:pPr>
            <w:r>
              <w:rPr>
                <w:color w:val="auto"/>
                <w:highlight w:val="none"/>
              </w:rPr>
            </w:r>
            <w:r/>
          </w:p>
        </w:tc>
        <w:tc>
          <w:tcPr>
            <w:tcW w:w="710" w:type="dxa"/>
            <w:vAlign w:val="center"/>
            <w:textDirection w:val="lrTb"/>
            <w:noWrap w:val="false"/>
          </w:tcPr>
          <w:p>
            <w:pPr>
              <w:jc w:val="center"/>
              <w:rPr>
                <w:color w:val="auto"/>
                <w:highlight w:val="none"/>
              </w:rPr>
            </w:pPr>
            <w:r>
              <w:rPr>
                <w:color w:val="auto"/>
                <w:highlight w:val="none"/>
              </w:rPr>
            </w:r>
            <w:r/>
          </w:p>
        </w:tc>
        <w:tc>
          <w:tcPr>
            <w:tcW w:w="2127" w:type="dxa"/>
            <w:vAlign w:val="center"/>
            <w:textDirection w:val="lrTb"/>
            <w:noWrap w:val="false"/>
          </w:tcPr>
          <w:p>
            <w:pPr>
              <w:jc w:val="center"/>
              <w:rPr>
                <w:color w:val="auto"/>
                <w:highlight w:val="none"/>
              </w:rPr>
            </w:pPr>
            <w:r>
              <w:rPr>
                <w:color w:val="auto"/>
                <w:highlight w:val="none"/>
              </w:rPr>
            </w:r>
            <w:r/>
          </w:p>
        </w:tc>
        <w:tc>
          <w:tcPr>
            <w:tcW w:w="1846" w:type="dxa"/>
            <w:vAlign w:val="center"/>
            <w:textDirection w:val="lrTb"/>
            <w:noWrap w:val="false"/>
          </w:tcPr>
          <w:p>
            <w:pPr>
              <w:jc w:val="center"/>
              <w:rPr>
                <w:color w:val="auto"/>
                <w:highlight w:val="none"/>
              </w:rPr>
            </w:pPr>
            <w:r>
              <w:rPr>
                <w:color w:val="auto"/>
                <w:highlight w:val="none"/>
              </w:rPr>
            </w:r>
            <w:r/>
          </w:p>
        </w:tc>
        <w:tc>
          <w:tcPr>
            <w:tcW w:w="1136" w:type="dxa"/>
            <w:textDirection w:val="lrTb"/>
            <w:noWrap w:val="false"/>
          </w:tcPr>
          <w:p>
            <w:pPr>
              <w:jc w:val="center"/>
              <w:rPr>
                <w:color w:val="auto"/>
                <w:highlight w:val="none"/>
              </w:rPr>
            </w:pPr>
            <w:r>
              <w:rPr>
                <w:color w:val="auto"/>
                <w:highlight w:val="none"/>
              </w:rPr>
            </w:r>
            <w:r/>
          </w:p>
        </w:tc>
        <w:tc>
          <w:tcPr>
            <w:tcW w:w="1130" w:type="dxa"/>
            <w:textDirection w:val="lrTb"/>
            <w:noWrap w:val="false"/>
          </w:tcPr>
          <w:p>
            <w:pPr>
              <w:jc w:val="center"/>
              <w:rPr>
                <w:color w:val="auto"/>
                <w:highlight w:val="none"/>
              </w:rPr>
            </w:pPr>
            <w:r>
              <w:rPr>
                <w:color w:val="auto"/>
                <w:highlight w:val="none"/>
              </w:rPr>
            </w:r>
            <w:r/>
          </w:p>
        </w:tc>
      </w:tr>
      <w:tr>
        <w:trPr>
          <w:jc w:val="center"/>
          <w:trHeight w:val="567"/>
        </w:trPr>
        <w:tc>
          <w:tcPr>
            <w:tcW w:w="562" w:type="dxa"/>
            <w:textDirection w:val="lrTb"/>
            <w:noWrap w:val="false"/>
          </w:tcPr>
          <w:p>
            <w:pPr>
              <w:jc w:val="center"/>
              <w:rPr>
                <w:color w:val="auto"/>
                <w:highlight w:val="none"/>
              </w:rPr>
            </w:pPr>
            <w:r>
              <w:rPr>
                <w:color w:val="auto"/>
                <w:highlight w:val="none"/>
              </w:rPr>
            </w:r>
            <w:r/>
          </w:p>
        </w:tc>
        <w:tc>
          <w:tcPr>
            <w:tcW w:w="1501" w:type="dxa"/>
            <w:vAlign w:val="center"/>
            <w:textDirection w:val="lrTb"/>
            <w:noWrap w:val="false"/>
          </w:tcPr>
          <w:p>
            <w:pPr>
              <w:jc w:val="center"/>
              <w:rPr>
                <w:color w:val="auto"/>
                <w:highlight w:val="none"/>
              </w:rPr>
            </w:pPr>
            <w:r>
              <w:rPr>
                <w:color w:val="auto"/>
                <w:highlight w:val="none"/>
              </w:rPr>
            </w:r>
            <w:r/>
          </w:p>
        </w:tc>
        <w:tc>
          <w:tcPr>
            <w:tcW w:w="710" w:type="dxa"/>
            <w:vAlign w:val="center"/>
            <w:textDirection w:val="lrTb"/>
            <w:noWrap w:val="false"/>
          </w:tcPr>
          <w:p>
            <w:pPr>
              <w:jc w:val="center"/>
              <w:rPr>
                <w:color w:val="auto"/>
                <w:highlight w:val="none"/>
              </w:rPr>
            </w:pPr>
            <w:r>
              <w:rPr>
                <w:color w:val="auto"/>
                <w:highlight w:val="none"/>
              </w:rPr>
            </w:r>
            <w:r/>
          </w:p>
        </w:tc>
        <w:tc>
          <w:tcPr>
            <w:tcW w:w="2127" w:type="dxa"/>
            <w:vAlign w:val="center"/>
            <w:textDirection w:val="lrTb"/>
            <w:noWrap w:val="false"/>
          </w:tcPr>
          <w:p>
            <w:pPr>
              <w:jc w:val="center"/>
              <w:rPr>
                <w:color w:val="auto"/>
                <w:highlight w:val="none"/>
              </w:rPr>
            </w:pPr>
            <w:r>
              <w:rPr>
                <w:color w:val="auto"/>
                <w:highlight w:val="none"/>
              </w:rPr>
            </w:r>
            <w:r/>
          </w:p>
        </w:tc>
        <w:tc>
          <w:tcPr>
            <w:tcW w:w="1846" w:type="dxa"/>
            <w:vAlign w:val="center"/>
            <w:textDirection w:val="lrTb"/>
            <w:noWrap w:val="false"/>
          </w:tcPr>
          <w:p>
            <w:pPr>
              <w:jc w:val="center"/>
              <w:rPr>
                <w:color w:val="auto"/>
                <w:highlight w:val="none"/>
              </w:rPr>
            </w:pPr>
            <w:r>
              <w:rPr>
                <w:color w:val="auto"/>
                <w:highlight w:val="none"/>
              </w:rPr>
            </w:r>
            <w:r/>
          </w:p>
        </w:tc>
        <w:tc>
          <w:tcPr>
            <w:tcW w:w="1136" w:type="dxa"/>
            <w:textDirection w:val="lrTb"/>
            <w:noWrap w:val="false"/>
          </w:tcPr>
          <w:p>
            <w:pPr>
              <w:jc w:val="center"/>
              <w:rPr>
                <w:color w:val="auto"/>
                <w:highlight w:val="none"/>
              </w:rPr>
            </w:pPr>
            <w:r>
              <w:rPr>
                <w:color w:val="auto"/>
                <w:highlight w:val="none"/>
              </w:rPr>
            </w:r>
            <w:r/>
          </w:p>
        </w:tc>
        <w:tc>
          <w:tcPr>
            <w:tcW w:w="1130" w:type="dxa"/>
            <w:textDirection w:val="lrTb"/>
            <w:noWrap w:val="false"/>
          </w:tcPr>
          <w:p>
            <w:pPr>
              <w:jc w:val="center"/>
              <w:rPr>
                <w:color w:val="auto"/>
                <w:highlight w:val="none"/>
              </w:rPr>
            </w:pPr>
            <w:r>
              <w:rPr>
                <w:color w:val="auto"/>
                <w:highlight w:val="none"/>
              </w:rPr>
            </w:r>
            <w:r/>
          </w:p>
        </w:tc>
      </w:tr>
      <w:tr>
        <w:trPr>
          <w:jc w:val="center"/>
          <w:trHeight w:val="567"/>
        </w:trPr>
        <w:tc>
          <w:tcPr>
            <w:tcW w:w="562" w:type="dxa"/>
            <w:textDirection w:val="lrTb"/>
            <w:noWrap w:val="false"/>
          </w:tcPr>
          <w:p>
            <w:pPr>
              <w:jc w:val="center"/>
              <w:rPr>
                <w:color w:val="auto"/>
                <w:highlight w:val="none"/>
              </w:rPr>
            </w:pPr>
            <w:r>
              <w:rPr>
                <w:color w:val="auto"/>
                <w:highlight w:val="none"/>
              </w:rPr>
            </w:r>
            <w:r/>
          </w:p>
        </w:tc>
        <w:tc>
          <w:tcPr>
            <w:tcW w:w="1501" w:type="dxa"/>
            <w:vAlign w:val="center"/>
            <w:textDirection w:val="lrTb"/>
            <w:noWrap w:val="false"/>
          </w:tcPr>
          <w:p>
            <w:pPr>
              <w:jc w:val="center"/>
              <w:rPr>
                <w:color w:val="auto"/>
                <w:highlight w:val="none"/>
              </w:rPr>
            </w:pPr>
            <w:r>
              <w:rPr>
                <w:color w:val="auto"/>
                <w:highlight w:val="none"/>
              </w:rPr>
            </w:r>
            <w:r/>
          </w:p>
        </w:tc>
        <w:tc>
          <w:tcPr>
            <w:tcW w:w="710" w:type="dxa"/>
            <w:vAlign w:val="center"/>
            <w:textDirection w:val="lrTb"/>
            <w:noWrap w:val="false"/>
          </w:tcPr>
          <w:p>
            <w:pPr>
              <w:jc w:val="center"/>
              <w:rPr>
                <w:color w:val="auto"/>
                <w:highlight w:val="none"/>
              </w:rPr>
            </w:pPr>
            <w:r>
              <w:rPr>
                <w:color w:val="auto"/>
                <w:highlight w:val="none"/>
              </w:rPr>
            </w:r>
            <w:r/>
          </w:p>
        </w:tc>
        <w:tc>
          <w:tcPr>
            <w:tcW w:w="2127" w:type="dxa"/>
            <w:vAlign w:val="center"/>
            <w:textDirection w:val="lrTb"/>
            <w:noWrap w:val="false"/>
          </w:tcPr>
          <w:p>
            <w:pPr>
              <w:jc w:val="center"/>
              <w:rPr>
                <w:color w:val="auto"/>
                <w:highlight w:val="none"/>
              </w:rPr>
            </w:pPr>
            <w:r>
              <w:rPr>
                <w:color w:val="auto"/>
                <w:highlight w:val="none"/>
              </w:rPr>
            </w:r>
            <w:r/>
          </w:p>
        </w:tc>
        <w:tc>
          <w:tcPr>
            <w:tcW w:w="1846" w:type="dxa"/>
            <w:vAlign w:val="center"/>
            <w:textDirection w:val="lrTb"/>
            <w:noWrap w:val="false"/>
          </w:tcPr>
          <w:p>
            <w:pPr>
              <w:jc w:val="center"/>
              <w:rPr>
                <w:color w:val="auto"/>
                <w:highlight w:val="none"/>
              </w:rPr>
            </w:pPr>
            <w:r>
              <w:rPr>
                <w:color w:val="auto"/>
                <w:highlight w:val="none"/>
              </w:rPr>
            </w:r>
            <w:r/>
          </w:p>
        </w:tc>
        <w:tc>
          <w:tcPr>
            <w:tcW w:w="1136" w:type="dxa"/>
            <w:textDirection w:val="lrTb"/>
            <w:noWrap w:val="false"/>
          </w:tcPr>
          <w:p>
            <w:pPr>
              <w:jc w:val="center"/>
              <w:rPr>
                <w:color w:val="auto"/>
                <w:highlight w:val="none"/>
              </w:rPr>
            </w:pPr>
            <w:r>
              <w:rPr>
                <w:color w:val="auto"/>
                <w:highlight w:val="none"/>
              </w:rPr>
            </w:r>
            <w:r/>
          </w:p>
        </w:tc>
        <w:tc>
          <w:tcPr>
            <w:tcW w:w="1130" w:type="dxa"/>
            <w:textDirection w:val="lrTb"/>
            <w:noWrap w:val="false"/>
          </w:tcPr>
          <w:p>
            <w:pPr>
              <w:jc w:val="center"/>
              <w:rPr>
                <w:color w:val="auto"/>
                <w:highlight w:val="none"/>
              </w:rPr>
            </w:pPr>
            <w:r>
              <w:rPr>
                <w:color w:val="auto"/>
                <w:highlight w:val="none"/>
              </w:rPr>
            </w:r>
            <w:r/>
          </w:p>
        </w:tc>
      </w:tr>
      <w:tr>
        <w:trPr>
          <w:jc w:val="center"/>
          <w:trHeight w:val="567"/>
        </w:trPr>
        <w:tc>
          <w:tcPr>
            <w:tcW w:w="562" w:type="dxa"/>
            <w:textDirection w:val="lrTb"/>
            <w:noWrap w:val="false"/>
          </w:tcPr>
          <w:p>
            <w:pPr>
              <w:jc w:val="center"/>
              <w:rPr>
                <w:color w:val="auto"/>
                <w:highlight w:val="none"/>
              </w:rPr>
            </w:pPr>
            <w:r>
              <w:rPr>
                <w:color w:val="auto"/>
                <w:highlight w:val="none"/>
              </w:rPr>
            </w:r>
            <w:r/>
          </w:p>
        </w:tc>
        <w:tc>
          <w:tcPr>
            <w:tcW w:w="1501" w:type="dxa"/>
            <w:vAlign w:val="center"/>
            <w:textDirection w:val="lrTb"/>
            <w:noWrap w:val="false"/>
          </w:tcPr>
          <w:p>
            <w:pPr>
              <w:jc w:val="center"/>
              <w:rPr>
                <w:color w:val="auto"/>
                <w:highlight w:val="none"/>
              </w:rPr>
            </w:pPr>
            <w:r>
              <w:rPr>
                <w:color w:val="auto"/>
                <w:highlight w:val="none"/>
              </w:rPr>
            </w:r>
            <w:r/>
          </w:p>
        </w:tc>
        <w:tc>
          <w:tcPr>
            <w:tcW w:w="710" w:type="dxa"/>
            <w:vAlign w:val="center"/>
            <w:textDirection w:val="lrTb"/>
            <w:noWrap w:val="false"/>
          </w:tcPr>
          <w:p>
            <w:pPr>
              <w:jc w:val="center"/>
              <w:rPr>
                <w:color w:val="auto"/>
                <w:highlight w:val="none"/>
              </w:rPr>
            </w:pPr>
            <w:r>
              <w:rPr>
                <w:color w:val="auto"/>
                <w:highlight w:val="none"/>
              </w:rPr>
            </w:r>
            <w:r/>
          </w:p>
        </w:tc>
        <w:tc>
          <w:tcPr>
            <w:tcW w:w="2127" w:type="dxa"/>
            <w:vAlign w:val="center"/>
            <w:textDirection w:val="lrTb"/>
            <w:noWrap w:val="false"/>
          </w:tcPr>
          <w:p>
            <w:pPr>
              <w:jc w:val="center"/>
              <w:rPr>
                <w:color w:val="auto"/>
                <w:highlight w:val="none"/>
              </w:rPr>
            </w:pPr>
            <w:r>
              <w:rPr>
                <w:color w:val="auto"/>
                <w:highlight w:val="none"/>
              </w:rPr>
            </w:r>
            <w:r/>
          </w:p>
        </w:tc>
        <w:tc>
          <w:tcPr>
            <w:tcW w:w="1846" w:type="dxa"/>
            <w:vAlign w:val="center"/>
            <w:textDirection w:val="lrTb"/>
            <w:noWrap w:val="false"/>
          </w:tcPr>
          <w:p>
            <w:pPr>
              <w:jc w:val="center"/>
              <w:rPr>
                <w:color w:val="auto"/>
                <w:highlight w:val="none"/>
              </w:rPr>
            </w:pPr>
            <w:r>
              <w:rPr>
                <w:color w:val="auto"/>
                <w:highlight w:val="none"/>
              </w:rPr>
            </w:r>
            <w:r/>
          </w:p>
        </w:tc>
        <w:tc>
          <w:tcPr>
            <w:tcW w:w="1136" w:type="dxa"/>
            <w:textDirection w:val="lrTb"/>
            <w:noWrap w:val="false"/>
          </w:tcPr>
          <w:p>
            <w:pPr>
              <w:jc w:val="center"/>
              <w:rPr>
                <w:color w:val="auto"/>
                <w:highlight w:val="none"/>
              </w:rPr>
            </w:pPr>
            <w:r>
              <w:rPr>
                <w:color w:val="auto"/>
                <w:highlight w:val="none"/>
              </w:rPr>
            </w:r>
            <w:r/>
          </w:p>
        </w:tc>
        <w:tc>
          <w:tcPr>
            <w:tcW w:w="1130" w:type="dxa"/>
            <w:textDirection w:val="lrTb"/>
            <w:noWrap w:val="false"/>
          </w:tcPr>
          <w:p>
            <w:pPr>
              <w:jc w:val="center"/>
              <w:rPr>
                <w:color w:val="auto"/>
                <w:highlight w:val="none"/>
              </w:rPr>
            </w:pPr>
            <w:r>
              <w:rPr>
                <w:color w:val="auto"/>
                <w:highlight w:val="none"/>
              </w:rPr>
            </w:r>
            <w:r/>
          </w:p>
        </w:tc>
      </w:tr>
      <w:tr>
        <w:trPr>
          <w:jc w:val="center"/>
          <w:trHeight w:val="567"/>
        </w:trPr>
        <w:tc>
          <w:tcPr>
            <w:tcW w:w="562" w:type="dxa"/>
            <w:vAlign w:val="center"/>
            <w:textDirection w:val="lrTb"/>
            <w:noWrap w:val="false"/>
          </w:tcPr>
          <w:p>
            <w:pPr>
              <w:jc w:val="center"/>
              <w:rPr>
                <w:color w:val="auto"/>
                <w:highlight w:val="none"/>
              </w:rPr>
            </w:pPr>
            <w:r>
              <w:rPr>
                <w:rFonts w:hint="eastAsia"/>
                <w:color w:val="auto"/>
                <w:highlight w:val="none"/>
              </w:rPr>
              <w:t xml:space="preserve">…</w:t>
            </w:r>
            <w:r/>
          </w:p>
        </w:tc>
        <w:tc>
          <w:tcPr>
            <w:tcW w:w="1501" w:type="dxa"/>
            <w:vAlign w:val="center"/>
            <w:textDirection w:val="lrTb"/>
            <w:noWrap w:val="false"/>
          </w:tcPr>
          <w:p>
            <w:pPr>
              <w:jc w:val="center"/>
              <w:rPr>
                <w:color w:val="auto"/>
                <w:highlight w:val="none"/>
              </w:rPr>
            </w:pPr>
            <w:r>
              <w:rPr>
                <w:color w:val="auto"/>
                <w:highlight w:val="none"/>
              </w:rPr>
            </w:r>
            <w:r/>
          </w:p>
        </w:tc>
        <w:tc>
          <w:tcPr>
            <w:tcW w:w="710" w:type="dxa"/>
            <w:vAlign w:val="center"/>
            <w:textDirection w:val="lrTb"/>
            <w:noWrap w:val="false"/>
          </w:tcPr>
          <w:p>
            <w:pPr>
              <w:jc w:val="center"/>
              <w:rPr>
                <w:color w:val="auto"/>
                <w:highlight w:val="none"/>
              </w:rPr>
            </w:pPr>
            <w:r>
              <w:rPr>
                <w:color w:val="auto"/>
                <w:highlight w:val="none"/>
              </w:rPr>
            </w:r>
            <w:r/>
          </w:p>
        </w:tc>
        <w:tc>
          <w:tcPr>
            <w:tcW w:w="2127" w:type="dxa"/>
            <w:vAlign w:val="center"/>
            <w:textDirection w:val="lrTb"/>
            <w:noWrap w:val="false"/>
          </w:tcPr>
          <w:p>
            <w:pPr>
              <w:jc w:val="center"/>
              <w:rPr>
                <w:color w:val="auto"/>
                <w:highlight w:val="none"/>
              </w:rPr>
            </w:pPr>
            <w:r>
              <w:rPr>
                <w:color w:val="auto"/>
                <w:highlight w:val="none"/>
              </w:rPr>
            </w:r>
            <w:r/>
          </w:p>
        </w:tc>
        <w:tc>
          <w:tcPr>
            <w:tcW w:w="1846" w:type="dxa"/>
            <w:vAlign w:val="center"/>
            <w:textDirection w:val="lrTb"/>
            <w:noWrap w:val="false"/>
          </w:tcPr>
          <w:p>
            <w:pPr>
              <w:jc w:val="center"/>
              <w:rPr>
                <w:color w:val="auto"/>
                <w:highlight w:val="none"/>
              </w:rPr>
            </w:pPr>
            <w:r>
              <w:rPr>
                <w:color w:val="auto"/>
                <w:highlight w:val="none"/>
              </w:rPr>
            </w:r>
            <w:r/>
          </w:p>
        </w:tc>
        <w:tc>
          <w:tcPr>
            <w:tcW w:w="1136" w:type="dxa"/>
            <w:textDirection w:val="lrTb"/>
            <w:noWrap w:val="false"/>
          </w:tcPr>
          <w:p>
            <w:pPr>
              <w:jc w:val="center"/>
              <w:rPr>
                <w:color w:val="auto"/>
                <w:highlight w:val="none"/>
              </w:rPr>
            </w:pPr>
            <w:r>
              <w:rPr>
                <w:color w:val="auto"/>
                <w:highlight w:val="none"/>
              </w:rPr>
            </w:r>
            <w:r/>
          </w:p>
        </w:tc>
        <w:tc>
          <w:tcPr>
            <w:tcW w:w="1130" w:type="dxa"/>
            <w:textDirection w:val="lrTb"/>
            <w:noWrap w:val="false"/>
          </w:tcPr>
          <w:p>
            <w:pPr>
              <w:jc w:val="center"/>
              <w:rPr>
                <w:color w:val="auto"/>
                <w:highlight w:val="none"/>
              </w:rPr>
            </w:pPr>
            <w:r>
              <w:rPr>
                <w:color w:val="auto"/>
                <w:highlight w:val="none"/>
              </w:rPr>
            </w:r>
            <w:r/>
          </w:p>
        </w:tc>
      </w:tr>
    </w:tbl>
    <w:p>
      <w:pPr>
        <w:ind w:firstLine="420"/>
        <w:rPr>
          <w:rFonts w:ascii="宋体" w:hAnsi="宋体" w:cs="宋体"/>
          <w:color w:val="auto"/>
          <w:szCs w:val="21"/>
          <w:highlight w:val="none"/>
        </w:rPr>
      </w:pPr>
      <w:r>
        <w:rPr>
          <w:rFonts w:ascii="宋体" w:hAnsi="宋体" w:cs="宋体"/>
          <w:color w:val="auto"/>
          <w:szCs w:val="21"/>
          <w:highlight w:val="none"/>
        </w:rPr>
      </w:r>
      <w:r/>
    </w:p>
    <w:p>
      <w:pPr>
        <w:ind w:firstLine="420"/>
        <w:rPr>
          <w:rFonts w:ascii="宋体" w:hAnsi="宋体" w:cs="宋体"/>
          <w:color w:val="auto"/>
          <w:sz w:val="24"/>
          <w:highlight w:val="none"/>
        </w:rPr>
      </w:pPr>
      <w:r>
        <w:rPr>
          <w:rFonts w:hint="eastAsia" w:ascii="宋体" w:hAnsi="宋体" w:cs="宋体"/>
          <w:color w:val="auto"/>
          <w:sz w:val="24"/>
          <w:highlight w:val="none"/>
        </w:rPr>
        <w:t xml:space="preserve">填写说明：</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1.按照采购需求详细填列，投标供应商不按实填写本表的，以弄虚作假处理；</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2.行数不够，可自行添加；</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3.社保栏应填写“已缴”或“未缴”，未填写的视同未缴。</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4.相关证明材料附后。</w:t>
      </w:r>
      <w:r/>
    </w:p>
    <w:p>
      <w:pPr>
        <w:ind w:firstLine="5040"/>
        <w:spacing w:line="500" w:lineRule="atLeast"/>
        <w:widowControl/>
        <w:rPr>
          <w:rFonts w:ascii="宋体" w:hAnsi="宋体"/>
          <w:bCs/>
          <w:color w:val="auto"/>
          <w:sz w:val="24"/>
          <w:highlight w:val="none"/>
        </w:rPr>
      </w:pPr>
      <w:r>
        <w:rPr>
          <w:rFonts w:hint="eastAsia" w:ascii="宋体" w:hAnsi="宋体"/>
          <w:color w:val="auto"/>
          <w:sz w:val="24"/>
          <w:highlight w:val="none"/>
        </w:rPr>
        <w:t xml:space="preserve">供应商名称（加盖CA电子公章）：</w:t>
      </w:r>
      <w:r>
        <w:rPr>
          <w:rFonts w:hint="eastAsia" w:ascii="宋体" w:hAnsi="宋体"/>
          <w:bCs/>
          <w:color w:val="auto"/>
          <w:sz w:val="24"/>
          <w:highlight w:val="none"/>
        </w:rPr>
        <w:t xml:space="preserve">      </w:t>
      </w:r>
      <w:r/>
    </w:p>
    <w:p>
      <w:pPr>
        <w:pStyle w:val="976"/>
        <w:ind w:right="840" w:firstLine="84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76"/>
        <w:ind w:right="840" w:firstLine="5040"/>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rFonts w:hint="eastAsia" w:ascii="宋体" w:hAnsi="宋体" w:cs="宋体"/>
          <w:color w:val="auto"/>
          <w:sz w:val="24"/>
          <w:szCs w:val="24"/>
          <w:highlight w:val="none"/>
        </w:rPr>
        <w:t xml:space="preserve">  </w:t>
      </w:r>
      <w:r/>
    </w:p>
    <w:p>
      <w:pPr>
        <w:jc w:val="left"/>
        <w:spacing w:line="360" w:lineRule="auto"/>
        <w:rPr>
          <w:rFonts w:ascii="宋体" w:hAnsi="宋体"/>
          <w:b/>
          <w:bCs/>
          <w:color w:val="auto"/>
          <w:highlight w:val="none"/>
        </w:rPr>
      </w:pPr>
      <w:r>
        <w:rPr>
          <w:rFonts w:ascii="宋体" w:hAnsi="宋体"/>
          <w:b/>
          <w:bCs/>
          <w:color w:val="auto"/>
          <w:highlight w:val="none"/>
        </w:rPr>
      </w:r>
      <w:r/>
    </w:p>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jc w:val="left"/>
        <w:spacing w:line="360" w:lineRule="auto"/>
        <w:rPr>
          <w:rFonts w:ascii="宋体" w:hAnsi="宋体"/>
          <w:b/>
          <w:bCs/>
          <w:color w:val="auto"/>
          <w:highlight w:val="none"/>
        </w:rPr>
      </w:pPr>
      <w:r>
        <w:rPr>
          <w:rFonts w:hint="eastAsia" w:ascii="宋体" w:hAnsi="宋体"/>
          <w:b/>
          <w:bCs/>
          <w:color w:val="auto"/>
          <w:szCs w:val="21"/>
          <w:highlight w:val="none"/>
        </w:rPr>
        <w:t xml:space="preserve">附件11：</w:t>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供应商近年类似业绩情况表</w:t>
      </w:r>
      <w:r/>
    </w:p>
    <w:p>
      <w:pPr>
        <w:pStyle w:val="1158"/>
        <w:rPr>
          <w:color w:val="auto"/>
          <w:highlight w:val="none"/>
        </w:rPr>
      </w:pPr>
      <w:r>
        <w:rPr>
          <w:color w:val="auto"/>
          <w:highlight w:val="none"/>
        </w:rPr>
      </w:r>
      <w:r/>
    </w:p>
    <w:tbl>
      <w:tblPr>
        <w:tblStyle w:val="975"/>
        <w:tblW w:w="8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1363"/>
        <w:gridCol w:w="1146"/>
        <w:gridCol w:w="1134"/>
        <w:gridCol w:w="1134"/>
      </w:tblGrid>
      <w:tr>
        <w:trPr>
          <w:jc w:val="center"/>
        </w:trPr>
        <w:tc>
          <w:tcPr>
            <w:tcW w:w="682" w:type="dxa"/>
            <w:vAlign w:val="center"/>
            <w:textDirection w:val="lrTb"/>
            <w:noWrap w:val="false"/>
          </w:tcPr>
          <w:p>
            <w:pPr>
              <w:jc w:val="center"/>
              <w:spacing w:after="0" w:line="400" w:lineRule="exact"/>
              <w:rPr>
                <w:rFonts w:ascii="宋体" w:hAnsi="宋体"/>
                <w:color w:val="auto"/>
                <w:sz w:val="24"/>
                <w:highlight w:val="none"/>
              </w:rPr>
            </w:pPr>
            <w:r>
              <w:rPr>
                <w:rFonts w:hint="eastAsia" w:ascii="宋体" w:hAnsi="宋体"/>
                <w:color w:val="auto"/>
                <w:sz w:val="24"/>
                <w:highlight w:val="none"/>
              </w:rPr>
              <w:t xml:space="preserve">序号</w:t>
            </w:r>
            <w:r/>
          </w:p>
        </w:tc>
        <w:tc>
          <w:tcPr>
            <w:tcW w:w="1559" w:type="dxa"/>
            <w:vAlign w:val="center"/>
            <w:textDirection w:val="lrTb"/>
            <w:noWrap w:val="false"/>
          </w:tcPr>
          <w:p>
            <w:pPr>
              <w:jc w:val="center"/>
              <w:spacing w:after="0" w:line="400" w:lineRule="exact"/>
              <w:rPr>
                <w:rFonts w:ascii="宋体" w:hAnsi="宋体"/>
                <w:color w:val="auto"/>
                <w:sz w:val="24"/>
                <w:highlight w:val="none"/>
              </w:rPr>
            </w:pPr>
            <w:r>
              <w:rPr>
                <w:rFonts w:hint="eastAsia" w:ascii="宋体" w:hAnsi="宋体"/>
                <w:color w:val="auto"/>
                <w:sz w:val="24"/>
                <w:highlight w:val="none"/>
              </w:rPr>
              <w:t xml:space="preserve">项目名称</w:t>
            </w:r>
            <w:r/>
          </w:p>
        </w:tc>
        <w:tc>
          <w:tcPr>
            <w:tcW w:w="1418" w:type="dxa"/>
            <w:vAlign w:val="center"/>
            <w:textDirection w:val="lrTb"/>
            <w:noWrap w:val="false"/>
          </w:tcPr>
          <w:p>
            <w:pPr>
              <w:jc w:val="center"/>
              <w:spacing w:after="0" w:line="400" w:lineRule="exact"/>
              <w:rPr>
                <w:rFonts w:ascii="宋体" w:hAnsi="宋体"/>
                <w:color w:val="auto"/>
                <w:sz w:val="24"/>
                <w:highlight w:val="none"/>
              </w:rPr>
            </w:pPr>
            <w:r>
              <w:rPr>
                <w:rFonts w:hint="eastAsia" w:ascii="宋体" w:hAnsi="宋体"/>
                <w:color w:val="auto"/>
                <w:sz w:val="24"/>
                <w:highlight w:val="none"/>
              </w:rPr>
              <w:t xml:space="preserve">业主单位</w:t>
            </w:r>
            <w:r/>
          </w:p>
        </w:tc>
        <w:tc>
          <w:tcPr>
            <w:tcW w:w="1363" w:type="dxa"/>
            <w:vAlign w:val="center"/>
            <w:textDirection w:val="lrTb"/>
            <w:noWrap w:val="false"/>
          </w:tcPr>
          <w:p>
            <w:pPr>
              <w:jc w:val="center"/>
              <w:spacing w:after="0" w:line="400" w:lineRule="exact"/>
              <w:rPr>
                <w:rFonts w:ascii="宋体" w:hAnsi="宋体"/>
                <w:color w:val="auto"/>
                <w:sz w:val="24"/>
                <w:highlight w:val="none"/>
              </w:rPr>
            </w:pPr>
            <w:r>
              <w:rPr>
                <w:rFonts w:hint="eastAsia" w:ascii="宋体" w:hAnsi="宋体"/>
                <w:color w:val="auto"/>
                <w:sz w:val="24"/>
                <w:highlight w:val="none"/>
              </w:rPr>
              <w:t xml:space="preserve">业主联系方式</w:t>
            </w:r>
            <w:r/>
          </w:p>
        </w:tc>
        <w:tc>
          <w:tcPr>
            <w:tcW w:w="1146" w:type="dxa"/>
            <w:vAlign w:val="center"/>
            <w:textDirection w:val="lrTb"/>
            <w:noWrap w:val="false"/>
          </w:tcPr>
          <w:p>
            <w:pPr>
              <w:jc w:val="center"/>
              <w:spacing w:after="0" w:line="400" w:lineRule="exact"/>
              <w:rPr>
                <w:rFonts w:ascii="宋体" w:hAnsi="宋体"/>
                <w:color w:val="auto"/>
                <w:sz w:val="24"/>
                <w:highlight w:val="none"/>
              </w:rPr>
            </w:pPr>
            <w:r>
              <w:rPr>
                <w:rFonts w:hint="eastAsia" w:ascii="宋体" w:hAnsi="宋体"/>
                <w:color w:val="auto"/>
                <w:sz w:val="24"/>
                <w:highlight w:val="none"/>
              </w:rPr>
              <w:t xml:space="preserve">项目合同价</w:t>
            </w:r>
            <w:r/>
          </w:p>
        </w:tc>
        <w:tc>
          <w:tcPr>
            <w:tcW w:w="1134" w:type="dxa"/>
            <w:vAlign w:val="center"/>
            <w:textDirection w:val="lrTb"/>
            <w:noWrap w:val="false"/>
          </w:tcPr>
          <w:p>
            <w:pPr>
              <w:jc w:val="center"/>
              <w:spacing w:after="0" w:line="400" w:lineRule="exact"/>
              <w:rPr>
                <w:rFonts w:ascii="宋体" w:hAnsi="宋体"/>
                <w:color w:val="auto"/>
                <w:sz w:val="24"/>
                <w:highlight w:val="none"/>
              </w:rPr>
            </w:pPr>
            <w:r>
              <w:rPr>
                <w:rFonts w:hint="eastAsia" w:ascii="宋体" w:hAnsi="宋体"/>
                <w:color w:val="auto"/>
                <w:sz w:val="24"/>
                <w:highlight w:val="none"/>
              </w:rPr>
              <w:t xml:space="preserve">项目实施时间</w:t>
            </w:r>
            <w:r/>
          </w:p>
        </w:tc>
        <w:tc>
          <w:tcPr>
            <w:tcW w:w="1134" w:type="dxa"/>
            <w:vAlign w:val="center"/>
            <w:textDirection w:val="lrTb"/>
            <w:noWrap w:val="false"/>
          </w:tcPr>
          <w:p>
            <w:pPr>
              <w:jc w:val="center"/>
              <w:spacing w:after="0" w:line="400" w:lineRule="exact"/>
              <w:rPr>
                <w:rFonts w:ascii="宋体" w:hAnsi="宋体"/>
                <w:color w:val="auto"/>
                <w:sz w:val="24"/>
                <w:highlight w:val="none"/>
              </w:rPr>
            </w:pPr>
            <w:r>
              <w:rPr>
                <w:rFonts w:hint="eastAsia" w:ascii="宋体" w:hAnsi="宋体"/>
                <w:color w:val="auto"/>
                <w:sz w:val="24"/>
                <w:highlight w:val="none"/>
              </w:rPr>
              <w:t xml:space="preserve">备注</w:t>
            </w:r>
            <w:r/>
          </w:p>
        </w:tc>
      </w:tr>
      <w:tr>
        <w:trPr>
          <w:jc w:val="center"/>
        </w:trPr>
        <w:tc>
          <w:tcPr>
            <w:tcW w:w="682"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363"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146"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r>
      <w:tr>
        <w:trPr>
          <w:jc w:val="center"/>
        </w:trPr>
        <w:tc>
          <w:tcPr>
            <w:tcW w:w="682"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363"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146"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r>
      <w:tr>
        <w:trPr>
          <w:jc w:val="center"/>
        </w:trPr>
        <w:tc>
          <w:tcPr>
            <w:tcW w:w="682"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363"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146"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r>
      <w:tr>
        <w:trPr>
          <w:jc w:val="center"/>
        </w:trPr>
        <w:tc>
          <w:tcPr>
            <w:tcW w:w="682"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363"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146"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r>
      <w:tr>
        <w:trPr>
          <w:jc w:val="center"/>
        </w:trPr>
        <w:tc>
          <w:tcPr>
            <w:tcW w:w="682"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363"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146"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r>
      <w:tr>
        <w:trPr>
          <w:jc w:val="center"/>
        </w:trPr>
        <w:tc>
          <w:tcPr>
            <w:tcW w:w="682"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363"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146"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r>
      <w:tr>
        <w:trPr>
          <w:jc w:val="center"/>
        </w:trPr>
        <w:tc>
          <w:tcPr>
            <w:tcW w:w="682"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363"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146"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r>
      <w:tr>
        <w:trPr>
          <w:jc w:val="center"/>
        </w:trPr>
        <w:tc>
          <w:tcPr>
            <w:tcW w:w="682"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363"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146"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spacing w:after="0" w:line="400" w:lineRule="exact"/>
              <w:rPr>
                <w:rFonts w:ascii="宋体" w:hAnsi="宋体"/>
                <w:color w:val="auto"/>
                <w:sz w:val="24"/>
                <w:highlight w:val="none"/>
              </w:rPr>
            </w:pPr>
            <w:r>
              <w:rPr>
                <w:rFonts w:ascii="宋体" w:hAnsi="宋体"/>
                <w:color w:val="auto"/>
                <w:sz w:val="24"/>
                <w:highlight w:val="none"/>
              </w:rPr>
            </w:r>
            <w:r/>
          </w:p>
        </w:tc>
      </w:tr>
    </w:tbl>
    <w:p>
      <w:pPr>
        <w:spacing w:line="360" w:lineRule="auto"/>
        <w:rPr>
          <w:rFonts w:ascii="宋体" w:hAnsi="宋体"/>
          <w:b/>
          <w:color w:val="auto"/>
          <w:szCs w:val="21"/>
          <w:highlight w:val="none"/>
        </w:rPr>
      </w:pPr>
      <w:r>
        <w:rPr>
          <w:rFonts w:ascii="宋体" w:hAnsi="宋体"/>
          <w:b/>
          <w:color w:val="auto"/>
          <w:szCs w:val="21"/>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注：1.提供上述表格中业绩相应的证明材料的原件扫描件</w:t>
      </w:r>
      <w:r>
        <w:rPr>
          <w:rFonts w:hint="eastAsia" w:ascii="宋体" w:hAnsi="宋体"/>
          <w:color w:val="auto"/>
          <w:sz w:val="24"/>
          <w:highlight w:val="none"/>
        </w:rPr>
        <w:t xml:space="preserve">加盖CA电子公章</w:t>
      </w:r>
      <w:r>
        <w:rPr>
          <w:rFonts w:hint="eastAsia" w:ascii="宋体" w:hAnsi="宋体" w:cs="宋体"/>
          <w:color w:val="auto"/>
          <w:sz w:val="24"/>
          <w:highlight w:val="none"/>
        </w:rPr>
        <w:t xml:space="preserve">。</w:t>
      </w:r>
      <w:r/>
    </w:p>
    <w:p>
      <w:pPr>
        <w:ind w:firstLine="96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2.如有需要说明的事项，请在备注中列明。</w:t>
      </w:r>
      <w:r/>
    </w:p>
    <w:p>
      <w:pPr>
        <w:jc w:val="left"/>
        <w:spacing w:line="360" w:lineRule="auto"/>
        <w:rPr>
          <w:rFonts w:ascii="宋体" w:hAnsi="宋体"/>
          <w:b/>
          <w:color w:val="auto"/>
          <w:sz w:val="24"/>
          <w:highlight w:val="none"/>
        </w:rPr>
      </w:pPr>
      <w:r>
        <w:rPr>
          <w:rFonts w:ascii="宋体" w:hAnsi="宋体"/>
          <w:b/>
          <w:color w:val="auto"/>
          <w:sz w:val="24"/>
          <w:highlight w:val="none"/>
        </w:rPr>
      </w:r>
      <w:r/>
    </w:p>
    <w:p>
      <w:pPr>
        <w:jc w:val="left"/>
        <w:spacing w:line="360" w:lineRule="auto"/>
        <w:rPr>
          <w:rFonts w:ascii="宋体" w:hAnsi="宋体"/>
          <w:b/>
          <w:color w:val="auto"/>
          <w:sz w:val="24"/>
          <w:highlight w:val="none"/>
        </w:rPr>
      </w:pPr>
      <w:r>
        <w:rPr>
          <w:rFonts w:ascii="宋体" w:hAnsi="宋体"/>
          <w:b/>
          <w:color w:val="auto"/>
          <w:sz w:val="24"/>
          <w:highlight w:val="none"/>
        </w:rPr>
      </w:r>
      <w:r/>
    </w:p>
    <w:p>
      <w:pPr>
        <w:ind w:firstLine="5040"/>
        <w:spacing w:line="500" w:lineRule="atLeast"/>
        <w:widowControl/>
        <w:rPr>
          <w:rFonts w:ascii="宋体" w:hAnsi="宋体"/>
          <w:bCs/>
          <w:color w:val="auto"/>
          <w:sz w:val="24"/>
          <w:highlight w:val="none"/>
        </w:rPr>
      </w:pPr>
      <w:r>
        <w:rPr>
          <w:rFonts w:hint="eastAsia" w:ascii="宋体" w:hAnsi="宋体" w:cs="宋体"/>
          <w:color w:val="auto"/>
          <w:sz w:val="24"/>
          <w:highlight w:val="none"/>
        </w:rPr>
        <w:t xml:space="preserve">供应商名称（加盖CA电子公章）</w:t>
      </w:r>
      <w:r>
        <w:rPr>
          <w:rFonts w:hint="eastAsia" w:ascii="宋体" w:hAnsi="宋体"/>
          <w:color w:val="auto"/>
          <w:sz w:val="24"/>
          <w:highlight w:val="none"/>
        </w:rPr>
        <w:t xml:space="preserve">：</w:t>
      </w:r>
      <w:r>
        <w:rPr>
          <w:rFonts w:hint="eastAsia" w:ascii="宋体" w:hAnsi="宋体"/>
          <w:bCs/>
          <w:color w:val="auto"/>
          <w:sz w:val="24"/>
          <w:highlight w:val="none"/>
        </w:rPr>
        <w:t xml:space="preserve">      </w:t>
      </w:r>
      <w:r/>
    </w:p>
    <w:p>
      <w:pPr>
        <w:pStyle w:val="976"/>
        <w:ind w:right="840" w:firstLine="84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76"/>
        <w:ind w:right="840" w:firstLine="504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20"/>
        <w:rPr>
          <w:rFonts w:ascii="宋体" w:hAnsi="宋体"/>
          <w:color w:val="auto"/>
          <w:sz w:val="24"/>
          <w:highlight w:val="none"/>
        </w:rPr>
      </w:pPr>
      <w:r>
        <w:rPr>
          <w:rFonts w:hint="eastAsia" w:ascii="宋体" w:hAnsi="宋体"/>
          <w:color w:val="auto"/>
          <w:sz w:val="24"/>
          <w:highlight w:val="none"/>
        </w:rPr>
        <w:t xml:space="preserve"> </w:t>
      </w:r>
      <w:r/>
    </w:p>
    <w:p>
      <w:pPr>
        <w:ind w:firstLine="420"/>
        <w:rPr>
          <w:rFonts w:ascii="宋体" w:hAnsi="宋体"/>
          <w:color w:val="auto"/>
          <w:sz w:val="24"/>
          <w:highlight w:val="none"/>
        </w:rPr>
      </w:pPr>
      <w:r>
        <w:rPr>
          <w:rFonts w:hint="eastAsia" w:ascii="宋体" w:hAnsi="宋体"/>
          <w:color w:val="auto"/>
          <w:sz w:val="24"/>
          <w:highlight w:val="none"/>
        </w:rPr>
        <w:t xml:space="preserve"> </w:t>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pStyle w:val="976"/>
        <w:ind w:firstLine="0"/>
        <w:rPr>
          <w:color w:val="auto"/>
          <w:highlight w:val="none"/>
        </w:rPr>
      </w:pPr>
      <w:r>
        <w:rPr>
          <w:color w:val="auto"/>
          <w:highlight w:val="none"/>
        </w:rPr>
      </w:r>
      <w:r/>
    </w:p>
    <w:p>
      <w:pPr>
        <w:pStyle w:val="978"/>
        <w:rPr>
          <w:color w:val="auto"/>
          <w:highlight w:val="none"/>
        </w:rPr>
      </w:pPr>
      <w:r>
        <w:rPr>
          <w:color w:val="auto"/>
          <w:highlight w:val="none"/>
        </w:rPr>
      </w:r>
      <w:r/>
    </w:p>
    <w:p>
      <w:pPr>
        <w:pStyle w:val="978"/>
        <w:rPr>
          <w:color w:val="auto"/>
          <w:highlight w:val="none"/>
        </w:rPr>
      </w:pPr>
      <w:r>
        <w:rPr>
          <w:color w:val="auto"/>
          <w:highlight w:val="none"/>
        </w:rPr>
      </w:r>
      <w:r/>
    </w:p>
    <w:p>
      <w:pPr>
        <w:pStyle w:val="976"/>
        <w:ind w:firstLine="0"/>
        <w:rPr>
          <w:color w:val="auto"/>
          <w:highlight w:val="none"/>
        </w:rPr>
      </w:pPr>
      <w:r>
        <w:rPr>
          <w:color w:val="auto"/>
          <w:highlight w:val="none"/>
        </w:rPr>
      </w:r>
      <w:r/>
    </w:p>
    <w:p>
      <w:pPr>
        <w:rPr>
          <w:rFonts w:ascii="宋体" w:hAnsi="宋体"/>
          <w:b/>
          <w:bCs/>
          <w:color w:val="auto"/>
          <w:highlight w:val="none"/>
        </w:rPr>
      </w:pPr>
      <w:r>
        <w:rPr>
          <w:rFonts w:hint="eastAsia" w:ascii="宋体" w:hAnsi="宋体" w:cs="宋体"/>
          <w:b/>
          <w:bCs/>
          <w:color w:val="auto"/>
          <w:szCs w:val="21"/>
          <w:highlight w:val="none"/>
        </w:rPr>
        <w:t xml:space="preserve"> </w:t>
      </w:r>
      <w:bookmarkStart w:id="148" w:name="_Toc433707803"/>
      <w:r/>
      <w:bookmarkStart w:id="149" w:name="_Toc456102124"/>
      <w:r/>
      <w:bookmarkStart w:id="150" w:name="_Toc456102501"/>
      <w:r/>
      <w:bookmarkStart w:id="151" w:name="_Toc456102678"/>
      <w:r>
        <w:rPr>
          <w:rFonts w:hint="eastAsia" w:ascii="宋体" w:hAnsi="宋体"/>
          <w:b/>
          <w:color w:val="auto"/>
          <w:szCs w:val="21"/>
          <w:highlight w:val="none"/>
        </w:rPr>
        <w:t xml:space="preserve">附件12：</w:t>
      </w:r>
      <w:bookmarkEnd w:id="148"/>
      <w:r/>
      <w:bookmarkEnd w:id="149"/>
      <w:r/>
      <w:bookmarkEnd w:id="150"/>
      <w:r/>
      <w:bookmarkEnd w:id="151"/>
      <w:r/>
      <w:r/>
    </w:p>
    <w:p>
      <w:pPr>
        <w:ind w:firstLine="562"/>
        <w:jc w:val="cente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承诺书</w:t>
      </w:r>
      <w:r/>
    </w:p>
    <w:p>
      <w:pPr>
        <w:spacing w:line="400" w:lineRule="exact"/>
        <w:rPr>
          <w:rFonts w:ascii="宋体" w:hAnsi="宋体" w:cs="宋体"/>
          <w:color w:val="auto"/>
          <w:sz w:val="24"/>
          <w:highlight w:val="none"/>
        </w:rPr>
      </w:pPr>
      <w:r>
        <w:rPr>
          <w:rFonts w:hint="eastAsia" w:ascii="宋体" w:hAnsi="宋体" w:cs="宋体"/>
          <w:color w:val="auto"/>
          <w:sz w:val="24"/>
          <w:highlight w:val="none"/>
          <w:u w:val="single"/>
        </w:rPr>
        <w:t xml:space="preserve">采购人名称</w:t>
      </w:r>
      <w:r>
        <w:rPr>
          <w:rFonts w:hint="eastAsia" w:ascii="宋体" w:hAnsi="宋体" w:cs="宋体"/>
          <w:color w:val="auto"/>
          <w:sz w:val="24"/>
          <w:highlight w:val="none"/>
        </w:rPr>
        <w:t xml:space="preserve">：</w:t>
      </w:r>
      <w:r/>
    </w:p>
    <w:p>
      <w:pPr>
        <w:ind w:firstLine="520"/>
        <w:spacing w:line="500" w:lineRule="exact"/>
        <w:rPr>
          <w:rFonts w:ascii="宋体" w:hAnsi="宋体" w:cs="宋体"/>
          <w:color w:val="auto"/>
          <w:sz w:val="24"/>
          <w:highlight w:val="none"/>
        </w:rPr>
      </w:pPr>
      <w:r>
        <w:rPr>
          <w:rFonts w:hint="eastAsia" w:ascii="宋体" w:hAnsi="宋体" w:cs="宋体"/>
          <w:color w:val="auto"/>
          <w:sz w:val="24"/>
          <w:highlight w:val="none"/>
        </w:rPr>
        <w:t xml:space="preserve">我单位郑重承诺以下事项：</w:t>
      </w:r>
      <w:r/>
    </w:p>
    <w:p>
      <w:pPr>
        <w:ind w:firstLine="420"/>
        <w:spacing w:line="500" w:lineRule="exact"/>
        <w:rPr>
          <w:rFonts w:ascii="宋体" w:hAnsi="宋体" w:cs="宋体"/>
          <w:color w:val="auto"/>
          <w:sz w:val="24"/>
          <w:highlight w:val="none"/>
        </w:rPr>
      </w:pPr>
      <w:r>
        <w:rPr>
          <w:rFonts w:hint="eastAsia" w:ascii="宋体" w:hAnsi="宋体" w:cs="宋体"/>
          <w:color w:val="auto"/>
          <w:sz w:val="24"/>
          <w:highlight w:val="none"/>
        </w:rPr>
        <w:t xml:space="preserve">一、我单位同意并响应</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项目（项目编号为：</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）招标磋商文件的所有内容。</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二、我单位提供的服务内容及服务质量完全响应磋商文件要求。如我方未能及时响应上述要求，则采购人有权对我方进行处罚直至解除合同。</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三、我单位未被“信用中国”网站（www.creditchina.gov.cn）列入失信被执行人名单、重大税收违法失信主体名单、严重失信主体名单。</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四、单位法定代表人/负责人不存在同一人或者存在直接控股、管理关系的不同供应商，参加同一合同项下的政府采购活动。</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五、不存在为采购项目提供整体设计、规范编制或者项目管理、监理、检测等服务的供应商，参加该采购项目的其他采购活动。</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六、法律法规规定的其他情形。</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七、如在履约过程中造成任何损失，由我方全部承担赔偿责任。</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八、如违背上述承诺，本公司（单位）将承担一切法律责任。</w:t>
      </w:r>
      <w:r/>
    </w:p>
    <w:p>
      <w:pPr>
        <w:spacing w:line="400" w:lineRule="exact"/>
        <w:rPr>
          <w:rFonts w:ascii="宋体" w:hAnsi="宋体" w:cs="宋体"/>
          <w:color w:val="auto"/>
          <w:sz w:val="24"/>
          <w:highlight w:val="none"/>
        </w:rPr>
      </w:pPr>
      <w:r>
        <w:rPr>
          <w:rFonts w:ascii="宋体" w:hAnsi="宋体" w:cs="宋体"/>
          <w:color w:val="auto"/>
          <w:sz w:val="24"/>
          <w:highlight w:val="none"/>
        </w:rPr>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         特此承诺</w:t>
      </w:r>
      <w:r/>
    </w:p>
    <w:p>
      <w:pPr>
        <w:pStyle w:val="976"/>
        <w:ind w:firstLine="422"/>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spacing w:line="360" w:lineRule="auto"/>
        <w:tabs>
          <w:tab w:val="left" w:pos="525" w:leader="none"/>
          <w:tab w:val="left" w:pos="630"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供应商名称（加盖CA电子公章）：</w:t>
      </w:r>
      <w:r/>
    </w:p>
    <w:p>
      <w:pPr>
        <w:spacing w:line="360" w:lineRule="auto"/>
        <w:tabs>
          <w:tab w:val="left" w:pos="525" w:leader="none"/>
          <w:tab w:val="left" w:pos="630"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法定代表人或授权代表（签字或盖章）：</w:t>
      </w:r>
      <w:r/>
    </w:p>
    <w:p>
      <w:pPr>
        <w:spacing w:line="360" w:lineRule="auto"/>
        <w:tabs>
          <w:tab w:val="left" w:pos="525" w:leader="none"/>
          <w:tab w:val="left" w:pos="630"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rPr>
          <w:rFonts w:ascii="宋体" w:hAnsi="宋体" w:cs="宋体"/>
          <w:color w:val="auto"/>
          <w:sz w:val="24"/>
          <w:highlight w:val="none"/>
        </w:rPr>
      </w:pPr>
      <w:r>
        <w:rPr>
          <w:rFonts w:hint="eastAsia" w:ascii="宋体" w:hAnsi="宋体" w:cs="宋体"/>
          <w:color w:val="auto"/>
          <w:sz w:val="24"/>
          <w:highlight w:val="none"/>
        </w:rPr>
        <w:br w:type="page" w:clear="all"/>
      </w:r>
      <w:r/>
    </w:p>
    <w:p>
      <w:pPr>
        <w:rPr>
          <w:b/>
          <w:bCs/>
          <w:color w:val="auto"/>
          <w:highlight w:val="none"/>
        </w:rPr>
      </w:pPr>
      <w:r>
        <w:rPr>
          <w:rFonts w:hint="eastAsia" w:ascii="宋体" w:hAnsi="宋体"/>
          <w:b/>
          <w:color w:val="auto"/>
          <w:szCs w:val="21"/>
          <w:highlight w:val="none"/>
        </w:rPr>
        <w:t xml:space="preserve">附件13：</w:t>
      </w:r>
      <w:r>
        <w:rPr>
          <w:b/>
          <w:bCs/>
          <w:color w:val="auto"/>
          <w:highlight w:val="none"/>
        </w:rPr>
        <w:t xml:space="preserve">本项目要求的其他资料</w:t>
      </w:r>
      <w:r/>
    </w:p>
    <w:p>
      <w:pPr>
        <w:ind w:firstLine="630"/>
        <w:rPr>
          <w:color w:val="auto"/>
          <w:highlight w:val="none"/>
        </w:rPr>
      </w:pPr>
      <w:r>
        <w:rPr>
          <w:color w:val="auto"/>
          <w:highlight w:val="none"/>
        </w:rPr>
      </w:r>
      <w:r/>
    </w:p>
    <w:p>
      <w:pPr>
        <w:ind w:firstLine="630"/>
        <w:spacing w:line="360" w:lineRule="auto"/>
        <w:rPr>
          <w:rFonts w:ascii="宋体" w:hAnsi="宋体"/>
          <w:color w:val="auto"/>
          <w:highlight w:val="none"/>
        </w:rPr>
      </w:pPr>
      <w:r>
        <w:rPr>
          <w:rFonts w:hint="eastAsia" w:ascii="宋体" w:hAnsi="宋体"/>
          <w:color w:val="auto"/>
          <w:highlight w:val="none"/>
        </w:rPr>
        <w:t xml:space="preserve">1.供应商认为有必要提供的其他证明材料（如有请自拟并自行添加）。</w:t>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pStyle w:val="1185"/>
        <w:jc w:val="center"/>
        <w:rPr>
          <w:b/>
          <w:bCs/>
          <w:color w:val="auto"/>
          <w:highlight w:val="none"/>
        </w:rPr>
      </w:pPr>
      <w:r>
        <w:rPr>
          <w:b/>
          <w:bCs/>
          <w:color w:val="auto"/>
          <w:highlight w:val="none"/>
        </w:rPr>
      </w:r>
      <w:r/>
    </w:p>
    <w:p>
      <w:pPr>
        <w:pStyle w:val="1002"/>
        <w:jc w:val="center"/>
        <w:spacing w:before="0" w:beforeAutospacing="0" w:after="0" w:afterAutospacing="0" w:line="360" w:lineRule="auto"/>
        <w:rPr>
          <w:b/>
          <w:color w:val="auto"/>
          <w:sz w:val="32"/>
          <w:szCs w:val="32"/>
          <w:highlight w:val="none"/>
        </w:rPr>
      </w:pPr>
      <w:r>
        <w:rPr>
          <w:rFonts w:hint="eastAsia"/>
          <w:b/>
          <w:color w:val="auto"/>
          <w:sz w:val="32"/>
          <w:szCs w:val="32"/>
          <w:highlight w:val="none"/>
        </w:rPr>
        <w:t xml:space="preserve">质疑函范本</w:t>
      </w:r>
      <w:r/>
    </w:p>
    <w:p>
      <w:pPr>
        <w:pStyle w:val="1002"/>
        <w:ind w:firstLine="480"/>
        <w:jc w:val="both"/>
        <w:spacing w:before="0" w:beforeAutospacing="0" w:after="0" w:afterAutospacing="0" w:line="360" w:lineRule="auto"/>
        <w:rPr>
          <w:color w:val="auto"/>
          <w:highlight w:val="none"/>
        </w:rPr>
        <w:outlineLvl w:val="2"/>
      </w:pPr>
      <w:r>
        <w:rPr>
          <w:rFonts w:hint="eastAsia"/>
          <w:color w:val="auto"/>
          <w:highlight w:val="none"/>
        </w:rPr>
        <w:t xml:space="preserve">一、质疑投标人基本信息</w:t>
      </w:r>
      <w:r/>
    </w:p>
    <w:p>
      <w:pPr>
        <w:pStyle w:val="1002"/>
        <w:ind w:firstLine="480"/>
        <w:jc w:val="both"/>
        <w:spacing w:before="0" w:beforeAutospacing="0" w:after="0" w:afterAutospacing="0" w:line="360" w:lineRule="auto"/>
        <w:rPr>
          <w:color w:val="auto"/>
          <w:highlight w:val="none"/>
        </w:rPr>
      </w:pPr>
      <w:r>
        <w:rPr>
          <w:rFonts w:hint="eastAsia"/>
          <w:color w:val="auto"/>
          <w:highlight w:val="none"/>
        </w:rPr>
        <w:t xml:space="preserve">质疑投标人：</w:t>
      </w:r>
      <w:r>
        <w:rPr>
          <w:rFonts w:hint="eastAsia"/>
          <w:color w:val="auto"/>
          <w:highlight w:val="none"/>
          <w:u w:val="single"/>
        </w:rPr>
        <w:t xml:space="preserve">           </w:t>
      </w:r>
      <w:r>
        <w:rPr>
          <w:rFonts w:hint="eastAsia"/>
          <w:color w:val="auto"/>
          <w:highlight w:val="none"/>
        </w:rPr>
        <w:t xml:space="preserve"> </w:t>
      </w:r>
      <w:r/>
    </w:p>
    <w:p>
      <w:pPr>
        <w:pStyle w:val="1002"/>
        <w:ind w:firstLine="480"/>
        <w:jc w:val="both"/>
        <w:spacing w:before="0" w:beforeAutospacing="0" w:after="0" w:afterAutospacing="0" w:line="360" w:lineRule="auto"/>
        <w:rPr>
          <w:color w:val="auto"/>
          <w:highlight w:val="none"/>
        </w:rPr>
      </w:pPr>
      <w:r>
        <w:rPr>
          <w:rFonts w:hint="eastAsia"/>
          <w:color w:val="auto"/>
          <w:highlight w:val="none"/>
        </w:rPr>
        <w:t xml:space="preserve">地址：</w:t>
      </w:r>
      <w:r>
        <w:rPr>
          <w:rFonts w:hint="eastAsia"/>
          <w:color w:val="auto"/>
          <w:highlight w:val="none"/>
          <w:u w:val="single"/>
        </w:rPr>
        <w:t xml:space="preserve">       </w:t>
      </w:r>
      <w:r>
        <w:rPr>
          <w:rFonts w:hint="eastAsia"/>
          <w:color w:val="auto"/>
          <w:highlight w:val="none"/>
        </w:rPr>
        <w:t xml:space="preserve"> 邮编：</w:t>
      </w:r>
      <w:r>
        <w:rPr>
          <w:rFonts w:hint="eastAsia"/>
          <w:color w:val="auto"/>
          <w:highlight w:val="none"/>
          <w:u w:val="single"/>
        </w:rPr>
        <w:t xml:space="preserve">       </w:t>
      </w:r>
      <w:r>
        <w:rPr>
          <w:rFonts w:hint="eastAsia"/>
          <w:color w:val="auto"/>
          <w:highlight w:val="none"/>
        </w:rPr>
        <w:t xml:space="preserve"> </w:t>
      </w:r>
      <w:r/>
    </w:p>
    <w:p>
      <w:pPr>
        <w:pStyle w:val="1002"/>
        <w:ind w:firstLine="480"/>
        <w:jc w:val="both"/>
        <w:spacing w:before="0" w:beforeAutospacing="0" w:after="0" w:afterAutospacing="0" w:line="360" w:lineRule="auto"/>
        <w:rPr>
          <w:color w:val="auto"/>
          <w:highlight w:val="none"/>
        </w:rPr>
      </w:pPr>
      <w:r>
        <w:rPr>
          <w:rFonts w:hint="eastAsia"/>
          <w:color w:val="auto"/>
          <w:highlight w:val="none"/>
        </w:rPr>
        <w:t xml:space="preserve">联系人：</w:t>
      </w:r>
      <w:r>
        <w:rPr>
          <w:rFonts w:hint="eastAsia"/>
          <w:color w:val="auto"/>
          <w:highlight w:val="none"/>
          <w:u w:val="single"/>
        </w:rPr>
        <w:t xml:space="preserve">      </w:t>
      </w:r>
      <w:r>
        <w:rPr>
          <w:rFonts w:hint="eastAsia"/>
          <w:color w:val="auto"/>
          <w:highlight w:val="none"/>
        </w:rPr>
        <w:t xml:space="preserve"> 联系电话：</w:t>
      </w:r>
      <w:r>
        <w:rPr>
          <w:rFonts w:hint="eastAsia"/>
          <w:color w:val="auto"/>
          <w:highlight w:val="none"/>
          <w:u w:val="single"/>
        </w:rPr>
        <w:t xml:space="preserve">            </w:t>
      </w:r>
      <w:r>
        <w:rPr>
          <w:rFonts w:hint="eastAsia"/>
          <w:color w:val="auto"/>
          <w:highlight w:val="none"/>
        </w:rPr>
        <w:t xml:space="preserve"> </w:t>
      </w:r>
      <w:r/>
    </w:p>
    <w:p>
      <w:pPr>
        <w:pStyle w:val="1002"/>
        <w:ind w:firstLine="480"/>
        <w:jc w:val="both"/>
        <w:spacing w:before="0" w:beforeAutospacing="0" w:after="0" w:afterAutospacing="0" w:line="360" w:lineRule="auto"/>
        <w:rPr>
          <w:color w:val="auto"/>
          <w:highlight w:val="none"/>
        </w:rPr>
      </w:pPr>
      <w:r>
        <w:rPr>
          <w:rFonts w:hint="eastAsia"/>
          <w:color w:val="auto"/>
          <w:highlight w:val="none"/>
        </w:rPr>
        <w:t xml:space="preserve">授权代表：</w:t>
      </w:r>
      <w:r>
        <w:rPr>
          <w:rFonts w:hint="eastAsia"/>
          <w:color w:val="auto"/>
          <w:highlight w:val="none"/>
          <w:u w:val="single"/>
        </w:rPr>
        <w:t xml:space="preserve">            </w:t>
      </w:r>
      <w:r>
        <w:rPr>
          <w:rFonts w:hint="eastAsia"/>
          <w:color w:val="auto"/>
          <w:highlight w:val="none"/>
        </w:rPr>
        <w:t xml:space="preserve"> </w:t>
      </w:r>
      <w:r/>
    </w:p>
    <w:p>
      <w:pPr>
        <w:pStyle w:val="1002"/>
        <w:ind w:firstLine="480"/>
        <w:jc w:val="both"/>
        <w:spacing w:before="0" w:beforeAutospacing="0" w:after="0" w:afterAutospacing="0" w:line="360" w:lineRule="auto"/>
        <w:rPr>
          <w:color w:val="auto"/>
          <w:highlight w:val="none"/>
        </w:rPr>
      </w:pPr>
      <w:r>
        <w:rPr>
          <w:rFonts w:hint="eastAsia"/>
          <w:color w:val="auto"/>
          <w:highlight w:val="none"/>
        </w:rPr>
        <w:t xml:space="preserve">联系电话：</w:t>
      </w:r>
      <w:r>
        <w:rPr>
          <w:rFonts w:hint="eastAsia"/>
          <w:color w:val="auto"/>
          <w:highlight w:val="none"/>
          <w:u w:val="single"/>
        </w:rPr>
        <w:t xml:space="preserve">            </w:t>
      </w:r>
      <w:r>
        <w:rPr>
          <w:rFonts w:hint="eastAsia"/>
          <w:color w:val="auto"/>
          <w:highlight w:val="none"/>
        </w:rPr>
        <w:t xml:space="preserve"> </w:t>
      </w:r>
      <w:r/>
    </w:p>
    <w:p>
      <w:pPr>
        <w:pStyle w:val="1002"/>
        <w:ind w:firstLine="480"/>
        <w:jc w:val="both"/>
        <w:spacing w:before="0" w:beforeAutospacing="0" w:after="0" w:afterAutospacing="0" w:line="360" w:lineRule="auto"/>
        <w:rPr>
          <w:color w:val="auto"/>
          <w:highlight w:val="none"/>
        </w:rPr>
      </w:pPr>
      <w:r>
        <w:rPr>
          <w:rFonts w:hint="eastAsia"/>
          <w:color w:val="auto"/>
          <w:highlight w:val="none"/>
        </w:rPr>
        <w:t xml:space="preserve">地址：</w:t>
      </w:r>
      <w:r>
        <w:rPr>
          <w:rFonts w:hint="eastAsia"/>
          <w:color w:val="auto"/>
          <w:highlight w:val="none"/>
          <w:u w:val="single"/>
        </w:rPr>
        <w:t xml:space="preserve">        </w:t>
      </w:r>
      <w:r>
        <w:rPr>
          <w:rFonts w:hint="eastAsia"/>
          <w:color w:val="auto"/>
          <w:highlight w:val="none"/>
        </w:rPr>
        <w:t xml:space="preserve">邮编：</w:t>
      </w:r>
      <w:r>
        <w:rPr>
          <w:rFonts w:hint="eastAsia"/>
          <w:color w:val="auto"/>
          <w:highlight w:val="none"/>
          <w:u w:val="single"/>
        </w:rPr>
        <w:t xml:space="preserve">            </w:t>
      </w:r>
      <w:r>
        <w:rPr>
          <w:rFonts w:hint="eastAsia"/>
          <w:color w:val="auto"/>
          <w:highlight w:val="none"/>
        </w:rPr>
        <w:t xml:space="preserve"> </w:t>
      </w:r>
      <w:r/>
    </w:p>
    <w:p>
      <w:pPr>
        <w:ind w:firstLine="480"/>
        <w:spacing w:after="0" w:line="360" w:lineRule="auto"/>
        <w:rPr>
          <w:rFonts w:ascii="宋体" w:hAnsi="宋体" w:cs="宋体"/>
          <w:color w:val="auto"/>
          <w:sz w:val="24"/>
          <w:highlight w:val="none"/>
        </w:rPr>
        <w:outlineLvl w:val="2"/>
      </w:pPr>
      <w:r>
        <w:rPr>
          <w:rFonts w:hint="eastAsia" w:ascii="宋体" w:hAnsi="宋体" w:cs="宋体"/>
          <w:color w:val="auto"/>
          <w:sz w:val="24"/>
          <w:highlight w:val="none"/>
        </w:rPr>
        <w:t xml:space="preserve">二、质疑项目基本情况</w:t>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质疑项目的名称：</w:t>
      </w:r>
      <w:r>
        <w:rPr>
          <w:rFonts w:hint="eastAsia" w:ascii="宋体" w:hAnsi="宋体" w:cs="宋体"/>
          <w:color w:val="auto"/>
          <w:sz w:val="24"/>
          <w:highlight w:val="none"/>
          <w:u w:val="single"/>
        </w:rPr>
        <w:t xml:space="preserve">                </w:t>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质疑项目的编号：</w:t>
      </w:r>
      <w:r>
        <w:rPr>
          <w:rFonts w:hint="eastAsia" w:ascii="宋体" w:hAnsi="宋体" w:cs="宋体"/>
          <w:color w:val="auto"/>
          <w:sz w:val="24"/>
          <w:highlight w:val="none"/>
          <w:u w:val="single"/>
        </w:rPr>
        <w:t xml:space="preserve">            </w:t>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采购人名称：</w:t>
      </w:r>
      <w:r>
        <w:rPr>
          <w:rFonts w:hint="eastAsia" w:ascii="宋体" w:hAnsi="宋体" w:cs="宋体"/>
          <w:color w:val="auto"/>
          <w:sz w:val="24"/>
          <w:highlight w:val="none"/>
          <w:u w:val="single"/>
        </w:rPr>
        <w:t xml:space="preserve">               </w:t>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招标文件获取日期：</w:t>
      </w:r>
      <w:r>
        <w:rPr>
          <w:rFonts w:hint="eastAsia" w:ascii="宋体" w:hAnsi="宋体" w:cs="宋体"/>
          <w:color w:val="auto"/>
          <w:sz w:val="24"/>
          <w:highlight w:val="none"/>
          <w:u w:val="single"/>
        </w:rPr>
        <w:t xml:space="preserve">                 </w:t>
      </w:r>
      <w:r/>
    </w:p>
    <w:p>
      <w:pPr>
        <w:ind w:firstLine="480"/>
        <w:spacing w:after="0" w:line="360" w:lineRule="auto"/>
        <w:rPr>
          <w:rFonts w:ascii="宋体" w:hAnsi="宋体" w:cs="宋体"/>
          <w:color w:val="auto"/>
          <w:sz w:val="24"/>
          <w:highlight w:val="none"/>
        </w:rPr>
        <w:outlineLvl w:val="2"/>
      </w:pPr>
      <w:r>
        <w:rPr>
          <w:rFonts w:hint="eastAsia" w:ascii="宋体" w:hAnsi="宋体" w:cs="宋体"/>
          <w:color w:val="auto"/>
          <w:sz w:val="24"/>
          <w:highlight w:val="none"/>
        </w:rPr>
        <w:t xml:space="preserve">三、质疑事项具体内容</w:t>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质疑事项1：</w:t>
      </w:r>
      <w:r>
        <w:rPr>
          <w:rFonts w:hint="eastAsia" w:ascii="宋体" w:hAnsi="宋体" w:cs="宋体"/>
          <w:color w:val="auto"/>
          <w:sz w:val="24"/>
          <w:highlight w:val="none"/>
          <w:u w:val="single"/>
        </w:rPr>
        <w:t xml:space="preserve">                </w:t>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事实依据：</w:t>
      </w:r>
      <w:r>
        <w:rPr>
          <w:rFonts w:hint="eastAsia" w:ascii="宋体" w:hAnsi="宋体" w:cs="宋体"/>
          <w:color w:val="auto"/>
          <w:sz w:val="24"/>
          <w:highlight w:val="none"/>
          <w:u w:val="single"/>
        </w:rPr>
        <w:t xml:space="preserve">             </w:t>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法律依据：</w:t>
      </w:r>
      <w:r>
        <w:rPr>
          <w:rFonts w:hint="eastAsia" w:ascii="宋体" w:hAnsi="宋体" w:cs="宋体"/>
          <w:color w:val="auto"/>
          <w:sz w:val="24"/>
          <w:highlight w:val="none"/>
          <w:u w:val="single"/>
        </w:rPr>
        <w:t xml:space="preserve">                   </w:t>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质疑事项2</w:t>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p>
      <w:pPr>
        <w:ind w:firstLine="480"/>
        <w:spacing w:after="0" w:line="360" w:lineRule="auto"/>
        <w:rPr>
          <w:rFonts w:ascii="宋体" w:hAnsi="宋体" w:cs="宋体"/>
          <w:color w:val="auto"/>
          <w:sz w:val="24"/>
          <w:highlight w:val="none"/>
        </w:rPr>
        <w:outlineLvl w:val="2"/>
      </w:pPr>
      <w:r>
        <w:rPr>
          <w:rFonts w:hint="eastAsia" w:ascii="宋体" w:hAnsi="宋体" w:cs="宋体"/>
          <w:color w:val="auto"/>
          <w:sz w:val="24"/>
          <w:highlight w:val="none"/>
        </w:rPr>
        <w:t xml:space="preserve">四、与质疑事项相关的质疑请求</w:t>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请求：</w:t>
      </w:r>
      <w:r>
        <w:rPr>
          <w:rFonts w:hint="eastAsia" w:ascii="宋体" w:hAnsi="宋体" w:cs="宋体"/>
          <w:color w:val="auto"/>
          <w:sz w:val="24"/>
          <w:highlight w:val="none"/>
          <w:u w:val="single"/>
        </w:rPr>
        <w:t xml:space="preserve">  </w:t>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签字（签章）：                   </w:t>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公章：                      </w:t>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日期：    </w:t>
      </w:r>
      <w:r/>
    </w:p>
    <w:p>
      <w:pPr>
        <w:pStyle w:val="1002"/>
        <w:ind w:firstLine="480"/>
        <w:jc w:val="both"/>
        <w:spacing w:beforeAutospacing="0" w:afterAutospacing="0" w:line="520" w:lineRule="exact"/>
        <w:rPr>
          <w:color w:val="auto"/>
          <w:highlight w:val="none"/>
        </w:rPr>
      </w:pPr>
      <w:r>
        <w:rPr>
          <w:color w:val="auto"/>
          <w:highlight w:val="none"/>
        </w:rPr>
      </w:r>
      <w:r/>
    </w:p>
    <w:p>
      <w:pPr>
        <w:pStyle w:val="1002"/>
        <w:ind w:firstLine="480"/>
        <w:jc w:val="both"/>
        <w:spacing w:beforeAutospacing="0" w:afterAutospacing="0" w:line="520" w:lineRule="exact"/>
        <w:rPr>
          <w:color w:val="auto"/>
          <w:highlight w:val="none"/>
        </w:rPr>
      </w:pPr>
      <w:r>
        <w:rPr>
          <w:color w:val="auto"/>
          <w:highlight w:val="none"/>
        </w:rPr>
      </w:r>
      <w:r/>
    </w:p>
    <w:p>
      <w:pPr>
        <w:pStyle w:val="1002"/>
        <w:ind w:firstLine="480"/>
        <w:jc w:val="both"/>
        <w:spacing w:beforeAutospacing="0" w:afterAutospacing="0" w:line="520" w:lineRule="exact"/>
        <w:rPr>
          <w:color w:val="auto"/>
          <w:highlight w:val="none"/>
        </w:rPr>
      </w:pPr>
      <w:r>
        <w:rPr>
          <w:color w:val="auto"/>
          <w:highlight w:val="none"/>
        </w:rPr>
      </w:r>
      <w:r/>
    </w:p>
    <w:p>
      <w:pPr>
        <w:pStyle w:val="1002"/>
        <w:ind w:firstLine="480"/>
        <w:jc w:val="both"/>
        <w:spacing w:beforeAutospacing="0" w:afterAutospacing="0" w:line="520" w:lineRule="exact"/>
        <w:rPr>
          <w:color w:val="auto"/>
          <w:highlight w:val="none"/>
        </w:rPr>
      </w:pPr>
      <w:r>
        <w:rPr>
          <w:color w:val="auto"/>
          <w:highlight w:val="none"/>
        </w:rPr>
      </w:r>
      <w:r/>
    </w:p>
    <w:p>
      <w:pPr>
        <w:pStyle w:val="1002"/>
        <w:ind w:firstLine="480"/>
        <w:jc w:val="both"/>
        <w:spacing w:beforeAutospacing="0" w:afterAutospacing="0" w:line="520" w:lineRule="exact"/>
        <w:rPr>
          <w:color w:val="auto"/>
          <w:highlight w:val="none"/>
        </w:rPr>
      </w:pPr>
      <w:r>
        <w:rPr>
          <w:color w:val="auto"/>
          <w:highlight w:val="none"/>
        </w:rPr>
      </w:r>
      <w:r/>
    </w:p>
    <w:p>
      <w:pPr>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质疑函制作说明：</w:t>
      </w:r>
      <w:r/>
    </w:p>
    <w:p>
      <w:pPr>
        <w:ind w:firstLine="68"/>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1.投标人提出质疑时，应提交质疑函和必要的证明材料。</w:t>
      </w:r>
      <w:r/>
    </w:p>
    <w:p>
      <w:pPr>
        <w:ind w:firstLine="68"/>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68"/>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3.质疑投标人若对项目的某一分包进行质疑，质疑函中应列明具体分包号。</w:t>
      </w:r>
      <w:r/>
    </w:p>
    <w:p>
      <w:pPr>
        <w:ind w:firstLine="68"/>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4.质疑函的质疑事项应具体、明确，并有必要的事实依据和法律依据。</w:t>
      </w:r>
      <w:r/>
    </w:p>
    <w:p>
      <w:pPr>
        <w:ind w:firstLine="68"/>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5.质疑函的质疑请求应与质疑事项相关。</w:t>
      </w:r>
      <w:r/>
    </w:p>
    <w:p>
      <w:pPr>
        <w:ind w:firstLine="68"/>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6.质疑投标人为自然人的，质疑函应由本人签字；质疑投标人为法人或者其他组织的，质疑函应由法定代表人、主要负责人，或者其授权代表签字或者盖章，并加盖公章。</w:t>
      </w:r>
      <w:r/>
    </w:p>
    <w:p>
      <w:pPr>
        <w:pStyle w:val="1185"/>
        <w:rPr>
          <w:color w:val="auto"/>
          <w:highlight w:val="none"/>
        </w:rPr>
      </w:pPr>
      <w:r>
        <w:rPr>
          <w:color w:val="auto"/>
          <w:highlight w:val="none"/>
        </w:rPr>
      </w:r>
      <w:r/>
    </w:p>
    <w:sectPr>
      <w:footerReference w:type="default" r:id="rId19"/>
      <w:footerReference w:type="first" r:id="rId20"/>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等线">
    <w:panose1 w:val="02010600030101010101"/>
  </w:font>
  <w:font w:name="等线 Light">
    <w:panose1 w:val="02010600030101010101"/>
  </w:font>
  <w:font w:name="Courier New">
    <w:panose1 w:val="02070309020205020404"/>
  </w:font>
  <w:font w:name="黑体">
    <w:panose1 w:val="02010609060101010101"/>
  </w:font>
  <w:font w:name="Verdana">
    <w:panose1 w:val="020B0604030504040204"/>
  </w:font>
  <w:font w:name="仿宋_GB2312">
    <w:panose1 w:val="02010609060101010101"/>
  </w:font>
  <w:font w:name="幼圆">
    <w:panose1 w:val="020105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pPr>
    <w:r/>
    <w:r/>
  </w:p>
  <w:p>
    <w:pPr>
      <w:pStyle w:val="99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both"/>
    </w:pPr>
    <w:r/>
    <w:r/>
  </w:p>
  <w:p>
    <w:pPr>
      <w:pStyle w:val="99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0"/>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0"/>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firstLine="46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0"/>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0"/>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0"/>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0"/>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firstLine="46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0"/>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0"/>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firstLine="46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0"/>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0"/>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0"/>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0"/>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firstLine="46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0"/>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0"/>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9">
    <w:name w:val="Heading 4 Char"/>
    <w:basedOn w:val="974"/>
    <w:link w:val="968"/>
    <w:uiPriority w:val="9"/>
    <w:rPr>
      <w:rFonts w:ascii="Arial" w:hAnsi="Arial" w:eastAsia="Arial" w:cs="Arial"/>
      <w:b/>
      <w:bCs/>
      <w:sz w:val="26"/>
      <w:szCs w:val="26"/>
    </w:rPr>
  </w:style>
  <w:style w:type="character" w:styleId="21">
    <w:name w:val="Heading 5 Char"/>
    <w:basedOn w:val="974"/>
    <w:link w:val="969"/>
    <w:uiPriority w:val="9"/>
    <w:rPr>
      <w:rFonts w:ascii="Arial" w:hAnsi="Arial" w:eastAsia="Arial" w:cs="Arial"/>
      <w:b/>
      <w:bCs/>
      <w:sz w:val="24"/>
      <w:szCs w:val="24"/>
    </w:rPr>
  </w:style>
  <w:style w:type="character" w:styleId="23">
    <w:name w:val="Heading 6 Char"/>
    <w:basedOn w:val="974"/>
    <w:link w:val="970"/>
    <w:uiPriority w:val="9"/>
    <w:rPr>
      <w:rFonts w:ascii="Arial" w:hAnsi="Arial" w:eastAsia="Arial" w:cs="Arial"/>
      <w:b/>
      <w:bCs/>
      <w:sz w:val="22"/>
      <w:szCs w:val="22"/>
    </w:rPr>
  </w:style>
  <w:style w:type="character" w:styleId="25">
    <w:name w:val="Heading 7 Char"/>
    <w:basedOn w:val="974"/>
    <w:link w:val="971"/>
    <w:uiPriority w:val="9"/>
    <w:rPr>
      <w:rFonts w:ascii="Arial" w:hAnsi="Arial" w:eastAsia="Arial" w:cs="Arial"/>
      <w:b/>
      <w:bCs/>
      <w:i/>
      <w:iCs/>
      <w:sz w:val="22"/>
      <w:szCs w:val="22"/>
    </w:rPr>
  </w:style>
  <w:style w:type="character" w:styleId="27">
    <w:name w:val="Heading 8 Char"/>
    <w:basedOn w:val="974"/>
    <w:link w:val="972"/>
    <w:uiPriority w:val="9"/>
    <w:rPr>
      <w:rFonts w:ascii="Arial" w:hAnsi="Arial" w:eastAsia="Arial" w:cs="Arial"/>
      <w:i/>
      <w:iCs/>
      <w:sz w:val="22"/>
      <w:szCs w:val="22"/>
    </w:rPr>
  </w:style>
  <w:style w:type="character" w:styleId="29">
    <w:name w:val="Heading 9 Char"/>
    <w:basedOn w:val="974"/>
    <w:link w:val="973"/>
    <w:uiPriority w:val="9"/>
    <w:rPr>
      <w:rFonts w:ascii="Arial" w:hAnsi="Arial" w:eastAsia="Arial" w:cs="Arial"/>
      <w:i/>
      <w:iCs/>
      <w:sz w:val="21"/>
      <w:szCs w:val="21"/>
    </w:rPr>
  </w:style>
  <w:style w:type="character" w:styleId="36">
    <w:name w:val="Subtitle Char"/>
    <w:basedOn w:val="974"/>
    <w:link w:val="995"/>
    <w:uiPriority w:val="11"/>
    <w:rPr>
      <w:sz w:val="24"/>
      <w:szCs w:val="24"/>
    </w:rPr>
  </w:style>
  <w:style w:type="character" w:styleId="38">
    <w:name w:val="Quote Char"/>
    <w:link w:val="1022"/>
    <w:uiPriority w:val="29"/>
    <w:rPr>
      <w:i/>
    </w:rPr>
  </w:style>
  <w:style w:type="character" w:styleId="40">
    <w:name w:val="Intense Quote Char"/>
    <w:link w:val="1024"/>
    <w:uiPriority w:val="30"/>
    <w:rPr>
      <w:i/>
    </w:rPr>
  </w:style>
  <w:style w:type="table" w:styleId="49">
    <w:name w:val="Plain Table 1"/>
    <w:basedOn w:val="9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9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9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9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9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9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9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9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9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9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9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9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996"/>
    <w:uiPriority w:val="99"/>
    <w:rPr>
      <w:sz w:val="18"/>
    </w:rPr>
  </w:style>
  <w:style w:type="character" w:styleId="178">
    <w:name w:val="Endnote Text Char"/>
    <w:link w:val="989"/>
    <w:uiPriority w:val="99"/>
    <w:rPr>
      <w:sz w:val="20"/>
    </w:rPr>
  </w:style>
  <w:style w:type="paragraph" w:styleId="189">
    <w:name w:val="TOC Heading"/>
    <w:uiPriority w:val="39"/>
    <w:unhideWhenUsed/>
  </w:style>
  <w:style w:type="paragraph" w:styleId="964" w:default="1">
    <w:name w:val="Normal"/>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965">
    <w:name w:val="Heading 1"/>
    <w:basedOn w:val="964"/>
    <w:next w:val="964"/>
    <w:link w:val="1161"/>
    <w:uiPriority w:val="0"/>
    <w:qFormat/>
    <w:pPr>
      <w:jc w:val="center"/>
      <w:keepNext/>
      <w:outlineLvl w:val="0"/>
    </w:pPr>
    <w:rPr>
      <w:rFonts w:ascii="楷体_GB2312" w:hAnsi="楷体_GB2312"/>
      <w:b/>
      <w:szCs w:val="20"/>
    </w:rPr>
  </w:style>
  <w:style w:type="paragraph" w:styleId="966">
    <w:name w:val="Heading 2"/>
    <w:basedOn w:val="964"/>
    <w:next w:val="976"/>
    <w:uiPriority w:val="0"/>
    <w:qFormat/>
    <w:pPr>
      <w:jc w:val="center"/>
      <w:keepLines/>
      <w:keepNext/>
      <w:spacing w:before="260" w:after="260" w:line="416" w:lineRule="auto"/>
      <w:outlineLvl w:val="1"/>
    </w:pPr>
    <w:rPr>
      <w:rFonts w:ascii="Arial" w:hAnsi="Arial" w:eastAsia="幼圆"/>
      <w:b/>
      <w:sz w:val="44"/>
      <w:szCs w:val="20"/>
    </w:rPr>
  </w:style>
  <w:style w:type="paragraph" w:styleId="967">
    <w:name w:val="Heading 3"/>
    <w:basedOn w:val="964"/>
    <w:next w:val="964"/>
    <w:uiPriority w:val="0"/>
    <w:qFormat/>
    <w:pPr>
      <w:keepLines/>
      <w:keepNext/>
      <w:spacing w:before="260" w:after="260" w:line="415" w:lineRule="auto"/>
      <w:outlineLvl w:val="2"/>
    </w:pPr>
    <w:rPr>
      <w:sz w:val="32"/>
      <w:szCs w:val="32"/>
    </w:rPr>
  </w:style>
  <w:style w:type="paragraph" w:styleId="968">
    <w:name w:val="Heading 4"/>
    <w:basedOn w:val="964"/>
    <w:next w:val="964"/>
    <w:link w:val="1013"/>
    <w:uiPriority w:val="9"/>
    <w:unhideWhenUsed/>
    <w:qFormat/>
    <w:pPr>
      <w:keepLines/>
      <w:keepNext/>
      <w:spacing w:before="320" w:after="200"/>
      <w:outlineLvl w:val="3"/>
    </w:pPr>
    <w:rPr>
      <w:rFonts w:ascii="Arial" w:hAnsi="Arial" w:eastAsia="Arial" w:cs="Arial"/>
      <w:b/>
      <w:bCs/>
      <w:sz w:val="26"/>
      <w:szCs w:val="26"/>
    </w:rPr>
  </w:style>
  <w:style w:type="paragraph" w:styleId="969">
    <w:name w:val="Heading 5"/>
    <w:basedOn w:val="964"/>
    <w:next w:val="964"/>
    <w:link w:val="1014"/>
    <w:uiPriority w:val="9"/>
    <w:unhideWhenUsed/>
    <w:qFormat/>
    <w:pPr>
      <w:keepLines/>
      <w:keepNext/>
      <w:spacing w:before="320" w:after="200"/>
      <w:outlineLvl w:val="4"/>
    </w:pPr>
    <w:rPr>
      <w:rFonts w:ascii="Arial" w:hAnsi="Arial" w:eastAsia="Arial" w:cs="Arial"/>
      <w:b/>
      <w:bCs/>
      <w:sz w:val="24"/>
    </w:rPr>
  </w:style>
  <w:style w:type="paragraph" w:styleId="970">
    <w:name w:val="Heading 6"/>
    <w:basedOn w:val="964"/>
    <w:next w:val="964"/>
    <w:link w:val="1015"/>
    <w:uiPriority w:val="9"/>
    <w:unhideWhenUsed/>
    <w:qFormat/>
    <w:pPr>
      <w:keepLines/>
      <w:keepNext/>
      <w:spacing w:before="320" w:after="200"/>
      <w:outlineLvl w:val="5"/>
    </w:pPr>
    <w:rPr>
      <w:rFonts w:ascii="Arial" w:hAnsi="Arial" w:eastAsia="Arial" w:cs="Arial"/>
      <w:b/>
      <w:bCs/>
      <w:sz w:val="22"/>
      <w:szCs w:val="22"/>
    </w:rPr>
  </w:style>
  <w:style w:type="paragraph" w:styleId="971">
    <w:name w:val="Heading 7"/>
    <w:basedOn w:val="964"/>
    <w:next w:val="964"/>
    <w:link w:val="1016"/>
    <w:uiPriority w:val="9"/>
    <w:unhideWhenUsed/>
    <w:qFormat/>
    <w:pPr>
      <w:keepLines/>
      <w:keepNext/>
      <w:spacing w:before="320" w:after="200"/>
      <w:outlineLvl w:val="6"/>
    </w:pPr>
    <w:rPr>
      <w:rFonts w:ascii="Arial" w:hAnsi="Arial" w:eastAsia="Arial" w:cs="Arial"/>
      <w:b/>
      <w:bCs/>
      <w:i/>
      <w:iCs/>
      <w:sz w:val="22"/>
      <w:szCs w:val="22"/>
    </w:rPr>
  </w:style>
  <w:style w:type="paragraph" w:styleId="972">
    <w:name w:val="Heading 8"/>
    <w:basedOn w:val="964"/>
    <w:next w:val="964"/>
    <w:link w:val="1017"/>
    <w:uiPriority w:val="9"/>
    <w:unhideWhenUsed/>
    <w:qFormat/>
    <w:pPr>
      <w:keepLines/>
      <w:keepNext/>
      <w:spacing w:before="320" w:after="200"/>
      <w:outlineLvl w:val="7"/>
    </w:pPr>
    <w:rPr>
      <w:rFonts w:ascii="Arial" w:hAnsi="Arial" w:eastAsia="Arial" w:cs="Arial"/>
      <w:i/>
      <w:iCs/>
      <w:sz w:val="22"/>
      <w:szCs w:val="22"/>
    </w:rPr>
  </w:style>
  <w:style w:type="paragraph" w:styleId="973">
    <w:name w:val="Heading 9"/>
    <w:basedOn w:val="964"/>
    <w:next w:val="964"/>
    <w:link w:val="1018"/>
    <w:uiPriority w:val="9"/>
    <w:unhideWhenUsed/>
    <w:qFormat/>
    <w:pPr>
      <w:keepLines/>
      <w:keepNext/>
      <w:spacing w:before="320" w:after="200"/>
      <w:outlineLvl w:val="8"/>
    </w:pPr>
    <w:rPr>
      <w:rFonts w:ascii="Arial" w:hAnsi="Arial" w:eastAsia="Arial" w:cs="Arial"/>
      <w:i/>
      <w:iCs/>
      <w:szCs w:val="21"/>
    </w:rPr>
  </w:style>
  <w:style w:type="character" w:styleId="974" w:default="1">
    <w:name w:val="Default Paragraph Font"/>
    <w:uiPriority w:val="1"/>
    <w:semiHidden/>
    <w:unhideWhenUsed/>
    <w:qFormat/>
  </w:style>
  <w:style w:type="table" w:styleId="975" w:default="1">
    <w:name w:val="Normal Table"/>
    <w:uiPriority w:val="99"/>
    <w:semiHidden/>
    <w:unhideWhenUsed/>
    <w:qFormat/>
    <w:tblPr>
      <w:tblCellMar>
        <w:left w:w="108" w:type="dxa"/>
        <w:top w:w="0" w:type="dxa"/>
        <w:right w:w="108" w:type="dxa"/>
        <w:bottom w:w="0" w:type="dxa"/>
      </w:tblCellMar>
    </w:tblPr>
  </w:style>
  <w:style w:type="paragraph" w:styleId="976">
    <w:name w:val="Body Text First Indent"/>
    <w:basedOn w:val="977"/>
    <w:next w:val="978"/>
    <w:link w:val="1180"/>
    <w:uiPriority w:val="99"/>
    <w:unhideWhenUsed/>
    <w:qFormat/>
    <w:pPr>
      <w:ind w:firstLine="420"/>
    </w:pPr>
  </w:style>
  <w:style w:type="paragraph" w:styleId="977">
    <w:name w:val="Body Text"/>
    <w:basedOn w:val="964"/>
    <w:link w:val="1179"/>
    <w:uiPriority w:val="0"/>
    <w:qFormat/>
    <w:rPr>
      <w:rFonts w:ascii="楷体_GB2312" w:hAnsi="Arial" w:eastAsia="楷体_GB2312"/>
      <w:sz w:val="28"/>
      <w:szCs w:val="20"/>
    </w:rPr>
  </w:style>
  <w:style w:type="paragraph" w:styleId="978">
    <w:name w:val="Body Text First Indent 2"/>
    <w:basedOn w:val="979"/>
    <w:uiPriority w:val="0"/>
    <w:unhideWhenUsed/>
    <w:qFormat/>
    <w:pPr>
      <w:ind w:left="420" w:firstLine="420"/>
      <w:spacing w:after="120"/>
    </w:pPr>
    <w:rPr>
      <w:rFonts w:ascii="Times New Roman" w:eastAsia="宋体"/>
      <w:sz w:val="21"/>
      <w:szCs w:val="24"/>
    </w:rPr>
  </w:style>
  <w:style w:type="paragraph" w:styleId="979">
    <w:name w:val="Body Text Indent"/>
    <w:basedOn w:val="964"/>
    <w:uiPriority w:val="0"/>
    <w:qFormat/>
    <w:pPr>
      <w:ind w:firstLine="645"/>
    </w:pPr>
    <w:rPr>
      <w:rFonts w:ascii="楷体_GB2312" w:eastAsia="楷体_GB2312"/>
      <w:sz w:val="32"/>
      <w:szCs w:val="20"/>
    </w:rPr>
  </w:style>
  <w:style w:type="paragraph" w:styleId="980">
    <w:name w:val="toc 7"/>
    <w:basedOn w:val="964"/>
    <w:next w:val="964"/>
    <w:uiPriority w:val="39"/>
    <w:unhideWhenUsed/>
    <w:qFormat/>
    <w:pPr>
      <w:ind w:left="1701"/>
      <w:spacing w:after="57"/>
    </w:pPr>
  </w:style>
  <w:style w:type="paragraph" w:styleId="981">
    <w:name w:val="Normal Indent"/>
    <w:basedOn w:val="964"/>
    <w:link w:val="1183"/>
    <w:uiPriority w:val="0"/>
    <w:qFormat/>
    <w:pPr>
      <w:ind w:firstLine="420"/>
    </w:pPr>
    <w:rPr>
      <w:szCs w:val="20"/>
    </w:rPr>
  </w:style>
  <w:style w:type="paragraph" w:styleId="982">
    <w:name w:val="Caption"/>
    <w:basedOn w:val="964"/>
    <w:next w:val="96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83">
    <w:name w:val="Block Text"/>
    <w:basedOn w:val="964"/>
    <w:uiPriority w:val="99"/>
    <w:unhideWhenUsed/>
    <w:qFormat/>
    <w:pPr>
      <w:ind w:left="1440" w:right="1440"/>
      <w:spacing w:after="120"/>
    </w:pPr>
  </w:style>
  <w:style w:type="paragraph" w:styleId="984">
    <w:name w:val="toc 5"/>
    <w:basedOn w:val="964"/>
    <w:next w:val="964"/>
    <w:uiPriority w:val="39"/>
    <w:unhideWhenUsed/>
    <w:qFormat/>
    <w:pPr>
      <w:ind w:left="1134"/>
      <w:spacing w:after="57"/>
    </w:pPr>
  </w:style>
  <w:style w:type="paragraph" w:styleId="985">
    <w:name w:val="toc 3"/>
    <w:basedOn w:val="964"/>
    <w:next w:val="964"/>
    <w:uiPriority w:val="39"/>
    <w:unhideWhenUsed/>
    <w:qFormat/>
    <w:pPr>
      <w:ind w:left="567"/>
      <w:spacing w:after="57"/>
    </w:pPr>
  </w:style>
  <w:style w:type="paragraph" w:styleId="986">
    <w:name w:val="Plain Text"/>
    <w:basedOn w:val="964"/>
    <w:next w:val="981"/>
    <w:link w:val="1181"/>
    <w:uiPriority w:val="0"/>
    <w:qFormat/>
    <w:rPr>
      <w:rFonts w:ascii="宋体" w:hAnsi="Courier New"/>
      <w:szCs w:val="20"/>
    </w:rPr>
  </w:style>
  <w:style w:type="paragraph" w:styleId="987">
    <w:name w:val="toc 8"/>
    <w:basedOn w:val="964"/>
    <w:next w:val="964"/>
    <w:uiPriority w:val="39"/>
    <w:unhideWhenUsed/>
    <w:qFormat/>
    <w:pPr>
      <w:ind w:left="1984"/>
      <w:spacing w:after="57"/>
    </w:pPr>
  </w:style>
  <w:style w:type="paragraph" w:styleId="988">
    <w:name w:val="Date"/>
    <w:basedOn w:val="964"/>
    <w:next w:val="964"/>
    <w:uiPriority w:val="0"/>
    <w:qFormat/>
    <w:rPr>
      <w:sz w:val="24"/>
      <w:szCs w:val="20"/>
    </w:rPr>
  </w:style>
  <w:style w:type="paragraph" w:styleId="989">
    <w:name w:val="endnote text"/>
    <w:basedOn w:val="964"/>
    <w:link w:val="1155"/>
    <w:uiPriority w:val="99"/>
    <w:semiHidden/>
    <w:unhideWhenUsed/>
    <w:qFormat/>
    <w:pPr>
      <w:spacing w:after="0" w:line="240" w:lineRule="auto"/>
    </w:pPr>
    <w:rPr>
      <w:sz w:val="20"/>
    </w:rPr>
  </w:style>
  <w:style w:type="paragraph" w:styleId="990">
    <w:name w:val="Footer"/>
    <w:basedOn w:val="964"/>
    <w:uiPriority w:val="99"/>
    <w:qFormat/>
    <w:pPr>
      <w:jc w:val="left"/>
      <w:tabs>
        <w:tab w:val="center" w:pos="4153" w:leader="none"/>
        <w:tab w:val="right" w:pos="8306" w:leader="none"/>
      </w:tabs>
    </w:pPr>
    <w:rPr>
      <w:sz w:val="18"/>
      <w:szCs w:val="20"/>
    </w:rPr>
  </w:style>
  <w:style w:type="paragraph" w:styleId="991">
    <w:name w:val="envelope return"/>
    <w:basedOn w:val="964"/>
    <w:uiPriority w:val="0"/>
    <w:qFormat/>
    <w:rPr>
      <w:rFonts w:ascii="Arial" w:hAnsi="Arial"/>
    </w:rPr>
  </w:style>
  <w:style w:type="paragraph" w:styleId="992">
    <w:name w:val="Header"/>
    <w:basedOn w:val="964"/>
    <w:uiPriority w:val="0"/>
    <w:qFormat/>
    <w:pPr>
      <w:jc w:val="center"/>
      <w:tabs>
        <w:tab w:val="center" w:pos="4153" w:leader="none"/>
        <w:tab w:val="right" w:pos="8306" w:leader="none"/>
      </w:tabs>
      <w:pBdr>
        <w:bottom w:val="single" w:color="auto" w:sz="6" w:space="1"/>
      </w:pBdr>
    </w:pPr>
    <w:rPr>
      <w:sz w:val="18"/>
      <w:szCs w:val="18"/>
    </w:rPr>
  </w:style>
  <w:style w:type="paragraph" w:styleId="993">
    <w:name w:val="toc 1"/>
    <w:basedOn w:val="964"/>
    <w:next w:val="964"/>
    <w:uiPriority w:val="0"/>
    <w:qFormat/>
  </w:style>
  <w:style w:type="paragraph" w:styleId="994">
    <w:name w:val="toc 4"/>
    <w:basedOn w:val="964"/>
    <w:next w:val="964"/>
    <w:uiPriority w:val="39"/>
    <w:unhideWhenUsed/>
    <w:qFormat/>
    <w:pPr>
      <w:ind w:left="850"/>
      <w:spacing w:after="57"/>
    </w:pPr>
  </w:style>
  <w:style w:type="paragraph" w:styleId="995">
    <w:name w:val="Subtitle"/>
    <w:basedOn w:val="964"/>
    <w:next w:val="964"/>
    <w:link w:val="1021"/>
    <w:uiPriority w:val="11"/>
    <w:qFormat/>
    <w:pPr>
      <w:spacing w:before="200" w:after="200"/>
    </w:pPr>
    <w:rPr>
      <w:sz w:val="24"/>
    </w:rPr>
  </w:style>
  <w:style w:type="paragraph" w:styleId="996">
    <w:name w:val="footnote text"/>
    <w:basedOn w:val="964"/>
    <w:link w:val="1154"/>
    <w:uiPriority w:val="99"/>
    <w:semiHidden/>
    <w:unhideWhenUsed/>
    <w:qFormat/>
    <w:pPr>
      <w:spacing w:after="40" w:line="240" w:lineRule="auto"/>
    </w:pPr>
    <w:rPr>
      <w:sz w:val="18"/>
    </w:rPr>
  </w:style>
  <w:style w:type="paragraph" w:styleId="997">
    <w:name w:val="toc 6"/>
    <w:basedOn w:val="964"/>
    <w:next w:val="964"/>
    <w:uiPriority w:val="39"/>
    <w:unhideWhenUsed/>
    <w:qFormat/>
    <w:pPr>
      <w:ind w:left="1417"/>
      <w:spacing w:after="57"/>
    </w:pPr>
  </w:style>
  <w:style w:type="paragraph" w:styleId="998">
    <w:name w:val="table of figures"/>
    <w:basedOn w:val="964"/>
    <w:next w:val="964"/>
    <w:uiPriority w:val="99"/>
    <w:unhideWhenUsed/>
    <w:qFormat/>
    <w:pPr>
      <w:spacing w:after="0"/>
    </w:pPr>
  </w:style>
  <w:style w:type="paragraph" w:styleId="999">
    <w:name w:val="toc 2"/>
    <w:basedOn w:val="964"/>
    <w:next w:val="964"/>
    <w:uiPriority w:val="39"/>
    <w:qFormat/>
    <w:pPr>
      <w:ind w:left="210"/>
      <w:jc w:val="left"/>
    </w:pPr>
    <w:rPr>
      <w:smallCaps/>
    </w:rPr>
  </w:style>
  <w:style w:type="paragraph" w:styleId="1000">
    <w:name w:val="toc 9"/>
    <w:basedOn w:val="964"/>
    <w:next w:val="964"/>
    <w:uiPriority w:val="39"/>
    <w:unhideWhenUsed/>
    <w:qFormat/>
    <w:pPr>
      <w:ind w:left="2268"/>
      <w:spacing w:after="57"/>
    </w:pPr>
  </w:style>
  <w:style w:type="paragraph" w:styleId="1001">
    <w:name w:val="Body Text 2"/>
    <w:basedOn w:val="964"/>
    <w:uiPriority w:val="99"/>
    <w:qFormat/>
    <w:rPr>
      <w:rFonts w:eastAsia="仿宋_GB2312"/>
      <w:color w:val="000000"/>
    </w:rPr>
  </w:style>
  <w:style w:type="paragraph" w:styleId="1002">
    <w:name w:val="Normal (Web)"/>
    <w:basedOn w:val="964"/>
    <w:uiPriority w:val="99"/>
    <w:unhideWhenUsed/>
    <w:qFormat/>
    <w:pPr>
      <w:jc w:val="left"/>
      <w:spacing w:before="100" w:beforeAutospacing="1" w:after="100" w:afterAutospacing="1"/>
      <w:widowControl/>
    </w:pPr>
    <w:rPr>
      <w:rFonts w:ascii="宋体" w:hAnsi="宋体" w:cs="宋体"/>
      <w:sz w:val="24"/>
    </w:rPr>
  </w:style>
  <w:style w:type="paragraph" w:styleId="1003">
    <w:name w:val="Title"/>
    <w:basedOn w:val="964"/>
    <w:next w:val="964"/>
    <w:uiPriority w:val="0"/>
    <w:qFormat/>
    <w:pPr>
      <w:jc w:val="center"/>
      <w:spacing w:before="240" w:after="60"/>
      <w:outlineLvl w:val="0"/>
    </w:pPr>
    <w:rPr>
      <w:rFonts w:ascii="等线 Light" w:hAnsi="等线 Light"/>
      <w:b/>
      <w:bCs/>
      <w:sz w:val="32"/>
      <w:szCs w:val="32"/>
    </w:rPr>
  </w:style>
  <w:style w:type="table" w:styleId="1004">
    <w:name w:val="Table Grid"/>
    <w:basedOn w:val="975"/>
    <w:uiPriority w:val="5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5">
    <w:name w:val="Strong"/>
    <w:basedOn w:val="974"/>
    <w:uiPriority w:val="22"/>
    <w:qFormat/>
    <w:rPr>
      <w:b/>
    </w:rPr>
  </w:style>
  <w:style w:type="character" w:styleId="1006">
    <w:name w:val="endnote reference"/>
    <w:basedOn w:val="974"/>
    <w:uiPriority w:val="99"/>
    <w:semiHidden/>
    <w:unhideWhenUsed/>
    <w:qFormat/>
    <w:rPr>
      <w:vertAlign w:val="superscript"/>
    </w:rPr>
  </w:style>
  <w:style w:type="character" w:styleId="1007">
    <w:name w:val="page number"/>
    <w:uiPriority w:val="0"/>
    <w:qFormat/>
  </w:style>
  <w:style w:type="character" w:styleId="1008">
    <w:name w:val="Hyperlink"/>
    <w:uiPriority w:val="99"/>
    <w:unhideWhenUsed/>
    <w:qFormat/>
    <w:rPr>
      <w:color w:val="0563c1" w:themeColor="hyperlink"/>
      <w:u w:val="single"/>
      <w14:textFill>
        <w14:solidFill>
          <w14:schemeClr w14:val="hlink"/>
        </w14:solidFill>
      </w14:textFill>
    </w:rPr>
  </w:style>
  <w:style w:type="character" w:styleId="1009">
    <w:name w:val="footnote reference"/>
    <w:basedOn w:val="974"/>
    <w:uiPriority w:val="99"/>
    <w:unhideWhenUsed/>
    <w:qFormat/>
    <w:rPr>
      <w:vertAlign w:val="superscript"/>
    </w:rPr>
  </w:style>
  <w:style w:type="character" w:styleId="1010" w:customStyle="1">
    <w:name w:val="Heading 1 Char"/>
    <w:basedOn w:val="974"/>
    <w:uiPriority w:val="9"/>
    <w:qFormat/>
    <w:rPr>
      <w:rFonts w:ascii="Arial" w:hAnsi="Arial" w:eastAsia="Arial" w:cs="Arial"/>
      <w:sz w:val="40"/>
      <w:szCs w:val="40"/>
    </w:rPr>
  </w:style>
  <w:style w:type="character" w:styleId="1011" w:customStyle="1">
    <w:name w:val="Heading 2 Char"/>
    <w:basedOn w:val="974"/>
    <w:uiPriority w:val="9"/>
    <w:qFormat/>
    <w:rPr>
      <w:rFonts w:ascii="Arial" w:hAnsi="Arial" w:eastAsia="Arial" w:cs="Arial"/>
      <w:sz w:val="34"/>
    </w:rPr>
  </w:style>
  <w:style w:type="character" w:styleId="1012" w:customStyle="1">
    <w:name w:val="Heading 3 Char"/>
    <w:basedOn w:val="974"/>
    <w:uiPriority w:val="9"/>
    <w:qFormat/>
    <w:rPr>
      <w:rFonts w:ascii="Arial" w:hAnsi="Arial" w:eastAsia="Arial" w:cs="Arial"/>
      <w:sz w:val="30"/>
      <w:szCs w:val="30"/>
    </w:rPr>
  </w:style>
  <w:style w:type="character" w:styleId="1013" w:customStyle="1">
    <w:name w:val="标题 4 字符"/>
    <w:basedOn w:val="974"/>
    <w:link w:val="968"/>
    <w:uiPriority w:val="9"/>
    <w:qFormat/>
    <w:rPr>
      <w:rFonts w:ascii="Arial" w:hAnsi="Arial" w:eastAsia="Arial" w:cs="Arial"/>
      <w:b/>
      <w:bCs/>
      <w:sz w:val="26"/>
      <w:szCs w:val="26"/>
    </w:rPr>
  </w:style>
  <w:style w:type="character" w:styleId="1014" w:customStyle="1">
    <w:name w:val="标题 5 字符"/>
    <w:basedOn w:val="974"/>
    <w:link w:val="969"/>
    <w:uiPriority w:val="9"/>
    <w:qFormat/>
    <w:rPr>
      <w:rFonts w:ascii="Arial" w:hAnsi="Arial" w:eastAsia="Arial" w:cs="Arial"/>
      <w:b/>
      <w:bCs/>
      <w:sz w:val="24"/>
      <w:szCs w:val="24"/>
    </w:rPr>
  </w:style>
  <w:style w:type="character" w:styleId="1015" w:customStyle="1">
    <w:name w:val="标题 6 字符"/>
    <w:basedOn w:val="974"/>
    <w:link w:val="970"/>
    <w:uiPriority w:val="9"/>
    <w:qFormat/>
    <w:rPr>
      <w:rFonts w:ascii="Arial" w:hAnsi="Arial" w:eastAsia="Arial" w:cs="Arial"/>
      <w:b/>
      <w:bCs/>
      <w:sz w:val="22"/>
      <w:szCs w:val="22"/>
    </w:rPr>
  </w:style>
  <w:style w:type="character" w:styleId="1016" w:customStyle="1">
    <w:name w:val="标题 7 字符"/>
    <w:basedOn w:val="974"/>
    <w:link w:val="971"/>
    <w:uiPriority w:val="9"/>
    <w:qFormat/>
    <w:rPr>
      <w:rFonts w:ascii="Arial" w:hAnsi="Arial" w:eastAsia="Arial" w:cs="Arial"/>
      <w:b/>
      <w:bCs/>
      <w:i/>
      <w:iCs/>
      <w:sz w:val="22"/>
      <w:szCs w:val="22"/>
    </w:rPr>
  </w:style>
  <w:style w:type="character" w:styleId="1017" w:customStyle="1">
    <w:name w:val="标题 8 字符"/>
    <w:basedOn w:val="974"/>
    <w:link w:val="972"/>
    <w:uiPriority w:val="9"/>
    <w:qFormat/>
    <w:rPr>
      <w:rFonts w:ascii="Arial" w:hAnsi="Arial" w:eastAsia="Arial" w:cs="Arial"/>
      <w:i/>
      <w:iCs/>
      <w:sz w:val="22"/>
      <w:szCs w:val="22"/>
    </w:rPr>
  </w:style>
  <w:style w:type="character" w:styleId="1018" w:customStyle="1">
    <w:name w:val="标题 9 字符"/>
    <w:basedOn w:val="974"/>
    <w:link w:val="973"/>
    <w:uiPriority w:val="9"/>
    <w:qFormat/>
    <w:rPr>
      <w:rFonts w:ascii="Arial" w:hAnsi="Arial" w:eastAsia="Arial" w:cs="Arial"/>
      <w:i/>
      <w:iCs/>
      <w:sz w:val="21"/>
      <w:szCs w:val="21"/>
    </w:rPr>
  </w:style>
  <w:style w:type="paragraph" w:styleId="1019">
    <w:name w:val="No Spacing"/>
    <w:uiPriority w:val="1"/>
    <w:qFormat/>
    <w:rPr>
      <w:rFonts w:ascii="Times New Roman" w:hAnsi="Times New Roman" w:eastAsia="宋体" w:cs="Times New Roman"/>
      <w:lang w:val="en-US" w:eastAsia="zh-CN" w:bidi="ar-SA"/>
    </w:rPr>
  </w:style>
  <w:style w:type="character" w:styleId="1020" w:customStyle="1">
    <w:name w:val="Title Char"/>
    <w:basedOn w:val="974"/>
    <w:uiPriority w:val="10"/>
    <w:qFormat/>
    <w:rPr>
      <w:sz w:val="48"/>
      <w:szCs w:val="48"/>
    </w:rPr>
  </w:style>
  <w:style w:type="character" w:styleId="1021" w:customStyle="1">
    <w:name w:val="副标题 字符"/>
    <w:basedOn w:val="974"/>
    <w:link w:val="995"/>
    <w:uiPriority w:val="11"/>
    <w:qFormat/>
    <w:rPr>
      <w:sz w:val="24"/>
      <w:szCs w:val="24"/>
    </w:rPr>
  </w:style>
  <w:style w:type="paragraph" w:styleId="1022">
    <w:name w:val="Quote"/>
    <w:basedOn w:val="964"/>
    <w:next w:val="964"/>
    <w:link w:val="1023"/>
    <w:uiPriority w:val="29"/>
    <w:qFormat/>
    <w:pPr>
      <w:ind w:left="720" w:right="720"/>
    </w:pPr>
    <w:rPr>
      <w:i/>
    </w:rPr>
  </w:style>
  <w:style w:type="character" w:styleId="1023" w:customStyle="1">
    <w:name w:val="引用 字符"/>
    <w:link w:val="1022"/>
    <w:uiPriority w:val="29"/>
    <w:qFormat/>
    <w:rPr>
      <w:i/>
    </w:rPr>
  </w:style>
  <w:style w:type="paragraph" w:styleId="1024">
    <w:name w:val="Intense Quote"/>
    <w:basedOn w:val="964"/>
    <w:next w:val="964"/>
    <w:link w:val="10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5" w:customStyle="1">
    <w:name w:val="明显引用 字符"/>
    <w:link w:val="1024"/>
    <w:uiPriority w:val="30"/>
    <w:qFormat/>
    <w:rPr>
      <w:i/>
    </w:rPr>
  </w:style>
  <w:style w:type="character" w:styleId="1026" w:customStyle="1">
    <w:name w:val="Header Char"/>
    <w:basedOn w:val="974"/>
    <w:uiPriority w:val="99"/>
    <w:qFormat/>
  </w:style>
  <w:style w:type="character" w:styleId="1027" w:customStyle="1">
    <w:name w:val="Footer Char"/>
    <w:basedOn w:val="974"/>
    <w:uiPriority w:val="99"/>
    <w:qFormat/>
  </w:style>
  <w:style w:type="character" w:styleId="1028" w:customStyle="1">
    <w:name w:val="Caption Char"/>
    <w:uiPriority w:val="99"/>
    <w:qFormat/>
  </w:style>
  <w:style w:type="table" w:styleId="1029" w:customStyle="1">
    <w:name w:val="Table Grid Light"/>
    <w:basedOn w:val="97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30" w:customStyle="1">
    <w:name w:val="无格式表格 11"/>
    <w:basedOn w:val="97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1" w:customStyle="1">
    <w:name w:val="无格式表格 21"/>
    <w:basedOn w:val="97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2" w:customStyle="1">
    <w:name w:val="无格式表格 31"/>
    <w:basedOn w:val="97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3" w:customStyle="1">
    <w:name w:val="无格式表格 41"/>
    <w:basedOn w:val="97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4" w:customStyle="1">
    <w:name w:val="无格式表格 51"/>
    <w:basedOn w:val="97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5" w:customStyle="1">
    <w:name w:val="网格表 1 浅色1"/>
    <w:basedOn w:val="97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6" w:customStyle="1">
    <w:name w:val="Grid Table 1 Light - Accent 1"/>
    <w:basedOn w:val="97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37" w:customStyle="1">
    <w:name w:val="Grid Table 1 Light - Accent 2"/>
    <w:basedOn w:val="97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38" w:customStyle="1">
    <w:name w:val="Grid Table 1 Light - Accent 3"/>
    <w:basedOn w:val="97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39" w:customStyle="1">
    <w:name w:val="Grid Table 1 Light - Accent 4"/>
    <w:basedOn w:val="97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40" w:customStyle="1">
    <w:name w:val="Grid Table 1 Light - Accent 5"/>
    <w:basedOn w:val="97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41" w:customStyle="1">
    <w:name w:val="Grid Table 1 Light - Accent 6"/>
    <w:basedOn w:val="97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42" w:customStyle="1">
    <w:name w:val="网格表 21"/>
    <w:basedOn w:val="97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3" w:customStyle="1">
    <w:name w:val="Grid Table 2 - Accent 1"/>
    <w:basedOn w:val="97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44" w:customStyle="1">
    <w:name w:val="Grid Table 2 - Accent 2"/>
    <w:basedOn w:val="97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45" w:customStyle="1">
    <w:name w:val="Grid Table 2 - Accent 3"/>
    <w:basedOn w:val="97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46" w:customStyle="1">
    <w:name w:val="Grid Table 2 - Accent 4"/>
    <w:basedOn w:val="97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47" w:customStyle="1">
    <w:name w:val="Grid Table 2 - Accent 5"/>
    <w:basedOn w:val="97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48" w:customStyle="1">
    <w:name w:val="Grid Table 2 - Accent 6"/>
    <w:basedOn w:val="97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49" w:customStyle="1">
    <w:name w:val="网格表 31"/>
    <w:basedOn w:val="97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Grid Table 3 - Accent 1"/>
    <w:basedOn w:val="97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Grid Table 3 - Accent 2"/>
    <w:basedOn w:val="97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Grid Table 3 - Accent 3"/>
    <w:basedOn w:val="97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3" w:customStyle="1">
    <w:name w:val="Grid Table 3 - Accent 4"/>
    <w:basedOn w:val="97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4" w:customStyle="1">
    <w:name w:val="Grid Table 3 - Accent 5"/>
    <w:basedOn w:val="97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5" w:customStyle="1">
    <w:name w:val="Grid Table 3 - Accent 6"/>
    <w:basedOn w:val="97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6" w:customStyle="1">
    <w:name w:val="网格表 41"/>
    <w:basedOn w:val="97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7" w:customStyle="1">
    <w:name w:val="Grid Table 4 - Accent 1"/>
    <w:basedOn w:val="97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58" w:customStyle="1">
    <w:name w:val="Grid Table 4 - Accent 2"/>
    <w:basedOn w:val="97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59" w:customStyle="1">
    <w:name w:val="Grid Table 4 - Accent 3"/>
    <w:basedOn w:val="97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60" w:customStyle="1">
    <w:name w:val="Grid Table 4 - Accent 4"/>
    <w:basedOn w:val="97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61" w:customStyle="1">
    <w:name w:val="Grid Table 4 - Accent 5"/>
    <w:basedOn w:val="97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62" w:customStyle="1">
    <w:name w:val="Grid Table 4 - Accent 6"/>
    <w:basedOn w:val="97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63" w:customStyle="1">
    <w:name w:val="网格表 5 深色1"/>
    <w:basedOn w:val="9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4" w:customStyle="1">
    <w:name w:val="Grid Table 5 Dark- Accent 1"/>
    <w:basedOn w:val="9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65" w:customStyle="1">
    <w:name w:val="Grid Table 5 Dark - Accent 2"/>
    <w:basedOn w:val="9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66" w:customStyle="1">
    <w:name w:val="Grid Table 5 Dark - Accent 3"/>
    <w:basedOn w:val="9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67" w:customStyle="1">
    <w:name w:val="Grid Table 5 Dark- Accent 4"/>
    <w:basedOn w:val="9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68" w:customStyle="1">
    <w:name w:val="Grid Table 5 Dark - Accent 5"/>
    <w:basedOn w:val="9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69" w:customStyle="1">
    <w:name w:val="Grid Table 5 Dark - Accent 6"/>
    <w:basedOn w:val="9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70" w:customStyle="1">
    <w:name w:val="网格表 6 彩色1"/>
    <w:basedOn w:val="97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71" w:customStyle="1">
    <w:name w:val="Grid Table 6 Colorful - Accent 1"/>
    <w:basedOn w:val="97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72" w:customStyle="1">
    <w:name w:val="Grid Table 6 Colorful - Accent 2"/>
    <w:basedOn w:val="97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73" w:customStyle="1">
    <w:name w:val="Grid Table 6 Colorful - Accent 3"/>
    <w:basedOn w:val="97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74" w:customStyle="1">
    <w:name w:val="Grid Table 6 Colorful - Accent 4"/>
    <w:basedOn w:val="97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75" w:customStyle="1">
    <w:name w:val="Grid Table 6 Colorful - Accent 5"/>
    <w:basedOn w:val="97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76" w:customStyle="1">
    <w:name w:val="Grid Table 6 Colorful - Accent 6"/>
    <w:basedOn w:val="97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77" w:customStyle="1">
    <w:name w:val="网格表 7 彩色1"/>
    <w:basedOn w:val="97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8" w:customStyle="1">
    <w:name w:val="Grid Table 7 Colorful - Accent 1"/>
    <w:basedOn w:val="97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79" w:customStyle="1">
    <w:name w:val="Grid Table 7 Colorful - Accent 2"/>
    <w:basedOn w:val="97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80" w:customStyle="1">
    <w:name w:val="Grid Table 7 Colorful - Accent 3"/>
    <w:basedOn w:val="97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81" w:customStyle="1">
    <w:name w:val="Grid Table 7 Colorful - Accent 4"/>
    <w:basedOn w:val="97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82" w:customStyle="1">
    <w:name w:val="Grid Table 7 Colorful - Accent 5"/>
    <w:basedOn w:val="97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83" w:customStyle="1">
    <w:name w:val="Grid Table 7 Colorful - Accent 6"/>
    <w:basedOn w:val="97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84" w:customStyle="1">
    <w:name w:val="清单表 1 浅色1"/>
    <w:basedOn w:val="97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5" w:customStyle="1">
    <w:name w:val="List Table 1 Light - Accent 1"/>
    <w:basedOn w:val="97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86" w:customStyle="1">
    <w:name w:val="List Table 1 Light - Accent 2"/>
    <w:basedOn w:val="97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87" w:customStyle="1">
    <w:name w:val="List Table 1 Light - Accent 3"/>
    <w:basedOn w:val="97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88" w:customStyle="1">
    <w:name w:val="List Table 1 Light - Accent 4"/>
    <w:basedOn w:val="97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89" w:customStyle="1">
    <w:name w:val="List Table 1 Light - Accent 5"/>
    <w:basedOn w:val="97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90" w:customStyle="1">
    <w:name w:val="List Table 1 Light - Accent 6"/>
    <w:basedOn w:val="97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91" w:customStyle="1">
    <w:name w:val="清单表 21"/>
    <w:basedOn w:val="97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2" w:customStyle="1">
    <w:name w:val="List Table 2 - Accent 1"/>
    <w:basedOn w:val="97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93" w:customStyle="1">
    <w:name w:val="List Table 2 - Accent 2"/>
    <w:basedOn w:val="97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94" w:customStyle="1">
    <w:name w:val="List Table 2 - Accent 3"/>
    <w:basedOn w:val="97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95" w:customStyle="1">
    <w:name w:val="List Table 2 - Accent 4"/>
    <w:basedOn w:val="97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96" w:customStyle="1">
    <w:name w:val="List Table 2 - Accent 5"/>
    <w:basedOn w:val="97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97" w:customStyle="1">
    <w:name w:val="List Table 2 - Accent 6"/>
    <w:basedOn w:val="97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98" w:customStyle="1">
    <w:name w:val="清单表 31"/>
    <w:basedOn w:val="9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9" w:customStyle="1">
    <w:name w:val="List Table 3 - Accent 1"/>
    <w:basedOn w:val="97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00" w:customStyle="1">
    <w:name w:val="List Table 3 - Accent 2"/>
    <w:basedOn w:val="97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101" w:customStyle="1">
    <w:name w:val="List Table 3 - Accent 3"/>
    <w:basedOn w:val="97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102" w:customStyle="1">
    <w:name w:val="List Table 3 - Accent 4"/>
    <w:basedOn w:val="97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103" w:customStyle="1">
    <w:name w:val="List Table 3 - Accent 5"/>
    <w:basedOn w:val="97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104" w:customStyle="1">
    <w:name w:val="List Table 3 - Accent 6"/>
    <w:basedOn w:val="97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05" w:customStyle="1">
    <w:name w:val="清单表 41"/>
    <w:basedOn w:val="9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6" w:customStyle="1">
    <w:name w:val="List Table 4 - Accent 1"/>
    <w:basedOn w:val="97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07" w:customStyle="1">
    <w:name w:val="List Table 4 - Accent 2"/>
    <w:basedOn w:val="97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08" w:customStyle="1">
    <w:name w:val="List Table 4 - Accent 3"/>
    <w:basedOn w:val="97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09" w:customStyle="1">
    <w:name w:val="List Table 4 - Accent 4"/>
    <w:basedOn w:val="97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10" w:customStyle="1">
    <w:name w:val="List Table 4 - Accent 5"/>
    <w:basedOn w:val="97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111" w:customStyle="1">
    <w:name w:val="List Table 4 - Accent 6"/>
    <w:basedOn w:val="97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12" w:customStyle="1">
    <w:name w:val="清单表 5 深色1"/>
    <w:basedOn w:val="97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3" w:customStyle="1">
    <w:name w:val="List Table 5 Dark - Accent 1"/>
    <w:basedOn w:val="97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4" w:customStyle="1">
    <w:name w:val="List Table 5 Dark - Accent 2"/>
    <w:basedOn w:val="97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5" w:customStyle="1">
    <w:name w:val="List Table 5 Dark - Accent 3"/>
    <w:basedOn w:val="97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6" w:customStyle="1">
    <w:name w:val="List Table 5 Dark - Accent 4"/>
    <w:basedOn w:val="97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7" w:customStyle="1">
    <w:name w:val="List Table 5 Dark - Accent 5"/>
    <w:basedOn w:val="97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8" w:customStyle="1">
    <w:name w:val="List Table 5 Dark - Accent 6"/>
    <w:basedOn w:val="97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9" w:customStyle="1">
    <w:name w:val="清单表 6 彩色1"/>
    <w:basedOn w:val="97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20" w:customStyle="1">
    <w:name w:val="List Table 6 Colorful - Accent 1"/>
    <w:basedOn w:val="97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121" w:customStyle="1">
    <w:name w:val="List Table 6 Colorful - Accent 2"/>
    <w:basedOn w:val="97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22" w:customStyle="1">
    <w:name w:val="List Table 6 Colorful - Accent 3"/>
    <w:basedOn w:val="97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23" w:customStyle="1">
    <w:name w:val="List Table 6 Colorful - Accent 4"/>
    <w:basedOn w:val="97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24" w:customStyle="1">
    <w:name w:val="List Table 6 Colorful - Accent 5"/>
    <w:basedOn w:val="97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125" w:customStyle="1">
    <w:name w:val="List Table 6 Colorful - Accent 6"/>
    <w:basedOn w:val="97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26" w:customStyle="1">
    <w:name w:val="清单表 7 彩色1"/>
    <w:basedOn w:val="97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7" w:customStyle="1">
    <w:name w:val="List Table 7 Colorful - Accent 1"/>
    <w:basedOn w:val="97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28" w:customStyle="1">
    <w:name w:val="List Table 7 Colorful - Accent 2"/>
    <w:basedOn w:val="97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29" w:customStyle="1">
    <w:name w:val="List Table 7 Colorful - Accent 3"/>
    <w:basedOn w:val="97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30" w:customStyle="1">
    <w:name w:val="List Table 7 Colorful - Accent 4"/>
    <w:basedOn w:val="97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31" w:customStyle="1">
    <w:name w:val="List Table 7 Colorful - Accent 5"/>
    <w:basedOn w:val="97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132" w:customStyle="1">
    <w:name w:val="List Table 7 Colorful - Accent 6"/>
    <w:basedOn w:val="97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33" w:customStyle="1">
    <w:name w:val="Lined - Accent"/>
    <w:basedOn w:val="9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4" w:customStyle="1">
    <w:name w:val="Lined - Accent 1"/>
    <w:basedOn w:val="9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35" w:customStyle="1">
    <w:name w:val="Lined - Accent 2"/>
    <w:basedOn w:val="9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36" w:customStyle="1">
    <w:name w:val="Lined - Accent 3"/>
    <w:basedOn w:val="9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37" w:customStyle="1">
    <w:name w:val="Lined - Accent 4"/>
    <w:basedOn w:val="9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38" w:customStyle="1">
    <w:name w:val="Lined - Accent 5"/>
    <w:basedOn w:val="9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39" w:customStyle="1">
    <w:name w:val="Lined - Accent 6"/>
    <w:basedOn w:val="9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40" w:customStyle="1">
    <w:name w:val="Bordered &amp; Lined - Accent"/>
    <w:basedOn w:val="97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1" w:customStyle="1">
    <w:name w:val="Bordered &amp; Lined - Accent 1"/>
    <w:basedOn w:val="97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42" w:customStyle="1">
    <w:name w:val="Bordered &amp; Lined - Accent 2"/>
    <w:basedOn w:val="97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43" w:customStyle="1">
    <w:name w:val="Bordered &amp; Lined - Accent 3"/>
    <w:basedOn w:val="97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44" w:customStyle="1">
    <w:name w:val="Bordered &amp; Lined - Accent 4"/>
    <w:basedOn w:val="97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45" w:customStyle="1">
    <w:name w:val="Bordered &amp; Lined - Accent 5"/>
    <w:basedOn w:val="97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46" w:customStyle="1">
    <w:name w:val="Bordered &amp; Lined - Accent 6"/>
    <w:basedOn w:val="97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47" w:customStyle="1">
    <w:name w:val="Bordered"/>
    <w:basedOn w:val="97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8" w:customStyle="1">
    <w:name w:val="Bordered - Accent 1"/>
    <w:basedOn w:val="97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49" w:customStyle="1">
    <w:name w:val="Bordered - Accent 2"/>
    <w:basedOn w:val="97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50" w:customStyle="1">
    <w:name w:val="Bordered - Accent 3"/>
    <w:basedOn w:val="97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51" w:customStyle="1">
    <w:name w:val="Bordered - Accent 4"/>
    <w:basedOn w:val="97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52" w:customStyle="1">
    <w:name w:val="Bordered - Accent 5"/>
    <w:basedOn w:val="97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53" w:customStyle="1">
    <w:name w:val="Bordered - Accent 6"/>
    <w:basedOn w:val="97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54" w:customStyle="1">
    <w:name w:val="脚注文本 字符"/>
    <w:link w:val="996"/>
    <w:uiPriority w:val="99"/>
    <w:qFormat/>
    <w:rPr>
      <w:sz w:val="18"/>
    </w:rPr>
  </w:style>
  <w:style w:type="character" w:styleId="1155" w:customStyle="1">
    <w:name w:val="尾注文本 字符"/>
    <w:link w:val="989"/>
    <w:uiPriority w:val="99"/>
    <w:qFormat/>
    <w:rPr>
      <w:sz w:val="20"/>
    </w:rPr>
  </w:style>
  <w:style w:type="paragraph" w:styleId="1156" w:customStyle="1">
    <w:name w:val="TOC 标题1"/>
    <w:uiPriority w:val="39"/>
    <w:unhideWhenUsed/>
    <w:qFormat/>
    <w:pPr>
      <w:spacing w:after="160" w:line="278" w:lineRule="auto"/>
    </w:pPr>
    <w:rPr>
      <w:rFonts w:ascii="Times New Roman" w:hAnsi="Times New Roman" w:eastAsia="宋体" w:cs="Times New Roman"/>
      <w:lang w:val="en-US" w:eastAsia="zh-CN" w:bidi="ar-SA"/>
    </w:rPr>
  </w:style>
  <w:style w:type="paragraph" w:styleId="1157" w:customStyle="1">
    <w:name w:val="DAS正文"/>
    <w:basedOn w:val="964"/>
    <w:uiPriority w:val="0"/>
    <w:qFormat/>
    <w:pPr>
      <w:ind w:right="181" w:firstLine="480"/>
      <w:spacing w:line="360" w:lineRule="auto"/>
    </w:pPr>
    <w:rPr>
      <w:rFonts w:ascii="Verdana" w:hAnsi="Verdana"/>
    </w:rPr>
  </w:style>
  <w:style w:type="paragraph" w:styleId="1158" w:customStyle="1">
    <w:name w:val="正文文本缩进1"/>
    <w:basedOn w:val="964"/>
    <w:next w:val="1159"/>
    <w:uiPriority w:val="0"/>
    <w:qFormat/>
    <w:pPr>
      <w:ind w:left="420"/>
      <w:spacing w:after="120"/>
    </w:pPr>
    <w:rPr>
      <w:szCs w:val="21"/>
    </w:rPr>
  </w:style>
  <w:style w:type="paragraph" w:styleId="1159" w:customStyle="1">
    <w:name w:val="寄信人地址1"/>
    <w:basedOn w:val="964"/>
    <w:uiPriority w:val="0"/>
    <w:qFormat/>
    <w:rPr>
      <w:rFonts w:ascii="Arial" w:hAnsi="Arial"/>
    </w:rPr>
  </w:style>
  <w:style w:type="paragraph" w:styleId="1160" w:customStyle="1">
    <w:name w:val="普通正文"/>
    <w:basedOn w:val="964"/>
    <w:uiPriority w:val="0"/>
    <w:qFormat/>
    <w:pPr>
      <w:ind w:firstLine="480"/>
      <w:jc w:val="left"/>
      <w:spacing w:before="120" w:after="120" w:line="360" w:lineRule="auto"/>
    </w:pPr>
    <w:rPr>
      <w:rFonts w:ascii="Arial" w:hAnsi="Arial"/>
      <w:sz w:val="24"/>
    </w:rPr>
  </w:style>
  <w:style w:type="character" w:styleId="1161" w:customStyle="1">
    <w:name w:val="标题 1 字符"/>
    <w:link w:val="965"/>
    <w:uiPriority w:val="0"/>
    <w:qFormat/>
    <w:rPr>
      <w:rFonts w:ascii="楷体_GB2312" w:hAnsi="楷体_GB2312"/>
      <w:b/>
      <w:szCs w:val="20"/>
    </w:rPr>
  </w:style>
  <w:style w:type="character" w:styleId="1162" w:customStyle="1">
    <w:name w:val="apple-style-span"/>
    <w:uiPriority w:val="0"/>
    <w:qFormat/>
  </w:style>
  <w:style w:type="paragraph" w:styleId="1163" w:customStyle="1">
    <w:name w:val="格式３"/>
    <w:basedOn w:val="964"/>
    <w:uiPriority w:val="99"/>
    <w:qFormat/>
    <w:pPr>
      <w:ind w:left="600" w:hanging="600"/>
      <w:spacing w:line="420" w:lineRule="exact"/>
    </w:pPr>
    <w:rPr>
      <w:rFonts w:ascii="宋体" w:hAnsi="宋体"/>
      <w:color w:val="000000"/>
      <w:sz w:val="24"/>
      <w:szCs w:val="20"/>
    </w:rPr>
  </w:style>
  <w:style w:type="paragraph" w:styleId="1164">
    <w:name w:val="List Paragraph"/>
    <w:basedOn w:val="964"/>
    <w:uiPriority w:val="99"/>
    <w:qFormat/>
    <w:pPr>
      <w:ind w:firstLine="420"/>
    </w:pPr>
    <w:rPr>
      <w:rFonts w:ascii="Calibri" w:hAnsi="Calibri"/>
      <w:szCs w:val="22"/>
    </w:rPr>
  </w:style>
  <w:style w:type="paragraph" w:styleId="1165" w:customStyle="1">
    <w:name w:val="标题 41"/>
    <w:basedOn w:val="964"/>
    <w:next w:val="1166"/>
    <w:uiPriority w:val="0"/>
    <w:qFormat/>
    <w:pPr>
      <w:keepLines/>
      <w:keepNext/>
      <w:spacing w:before="280" w:after="290" w:line="376" w:lineRule="auto"/>
      <w:outlineLvl w:val="3"/>
    </w:pPr>
    <w:rPr>
      <w:rFonts w:ascii="Arial" w:hAnsi="Arial" w:eastAsia="黑体" w:cs="Arial"/>
      <w:b/>
      <w:bCs/>
      <w:sz w:val="28"/>
      <w:szCs w:val="28"/>
    </w:rPr>
  </w:style>
  <w:style w:type="paragraph" w:styleId="1166" w:customStyle="1">
    <w:name w:val="正文缩进1"/>
    <w:basedOn w:val="964"/>
    <w:link w:val="1186"/>
    <w:uiPriority w:val="0"/>
    <w:qFormat/>
    <w:pPr>
      <w:ind w:firstLine="420"/>
    </w:pPr>
    <w:rPr>
      <w:szCs w:val="21"/>
    </w:rPr>
  </w:style>
  <w:style w:type="paragraph" w:styleId="1167" w:customStyle="1">
    <w:name w:val="标题 11"/>
    <w:basedOn w:val="964"/>
    <w:next w:val="964"/>
    <w:uiPriority w:val="0"/>
    <w:qFormat/>
    <w:pPr>
      <w:jc w:val="center"/>
      <w:keepNext/>
      <w:outlineLvl w:val="0"/>
    </w:pPr>
    <w:rPr>
      <w:rFonts w:ascii="楷体_GB2312" w:eastAsia="楷体_GB2312"/>
      <w:sz w:val="28"/>
      <w:szCs w:val="28"/>
    </w:rPr>
  </w:style>
  <w:style w:type="paragraph" w:styleId="1168" w:customStyle="1">
    <w:name w:val="Default"/>
    <w:uiPriority w:val="0"/>
    <w:qFormat/>
    <w:pPr>
      <w:spacing w:after="160" w:line="278" w:lineRule="auto"/>
      <w:widowControl w:val="off"/>
    </w:pPr>
    <w:rPr>
      <w:rFonts w:ascii="宋体" w:hAnsi="Calibri" w:eastAsia="宋体" w:cs="宋体"/>
      <w:color w:val="000000"/>
      <w:sz w:val="24"/>
      <w:szCs w:val="24"/>
      <w:lang w:val="en-US" w:eastAsia="zh-CN" w:bidi="ar-SA"/>
    </w:rPr>
  </w:style>
  <w:style w:type="paragraph" w:styleId="1169" w:customStyle="1">
    <w:name w:val="列出段落"/>
    <w:basedOn w:val="964"/>
    <w:uiPriority w:val="0"/>
    <w:qFormat/>
    <w:pPr>
      <w:contextualSpacing/>
      <w:ind w:left="720"/>
      <w:jc w:val="left"/>
      <w:widowControl/>
    </w:pPr>
    <w:rPr>
      <w:rFonts w:ascii="Calibri" w:hAnsi="Calibri"/>
      <w:sz w:val="24"/>
      <w:lang w:eastAsia="en-US" w:bidi="en-US"/>
    </w:rPr>
  </w:style>
  <w:style w:type="paragraph" w:styleId="1170" w:customStyle="1">
    <w:name w:val="纯文本1"/>
    <w:basedOn w:val="964"/>
    <w:uiPriority w:val="0"/>
    <w:qFormat/>
    <w:rPr>
      <w:rFonts w:ascii="宋体" w:hAnsi="Courier New" w:cs="Courier New"/>
      <w:szCs w:val="21"/>
    </w:rPr>
  </w:style>
  <w:style w:type="paragraph" w:styleId="1171" w:customStyle="1">
    <w:name w:val="二级目录"/>
    <w:next w:val="964"/>
    <w:uiPriority w:val="0"/>
    <w:qFormat/>
    <w:pPr>
      <w:ind w:left="567" w:hanging="567"/>
      <w:spacing w:after="160" w:line="278" w:lineRule="auto"/>
      <w:tabs>
        <w:tab w:val="left" w:pos="720" w:leader="none"/>
      </w:tabs>
      <w:outlineLvl w:val="1"/>
    </w:pPr>
    <w:rPr>
      <w:rFonts w:ascii="Calibri" w:hAnsi="Calibri" w:eastAsia="Times New Roman" w:cs="Times New Roman"/>
      <w:b/>
      <w:sz w:val="30"/>
      <w:szCs w:val="28"/>
      <w:lang w:val="en-US" w:eastAsia="zh-CN" w:bidi="ar-SA"/>
    </w:rPr>
  </w:style>
  <w:style w:type="paragraph" w:styleId="1172" w:customStyle="1">
    <w:name w:val="页脚1"/>
    <w:basedOn w:val="964"/>
    <w:uiPriority w:val="0"/>
    <w:qFormat/>
    <w:pPr>
      <w:jc w:val="left"/>
      <w:tabs>
        <w:tab w:val="center" w:pos="4153" w:leader="none"/>
        <w:tab w:val="right" w:pos="8306" w:leader="none"/>
      </w:tabs>
    </w:pPr>
    <w:rPr>
      <w:sz w:val="18"/>
    </w:rPr>
  </w:style>
  <w:style w:type="character" w:styleId="1173" w:customStyle="1">
    <w:name w:val="页码1"/>
    <w:uiPriority w:val="0"/>
    <w:qFormat/>
  </w:style>
  <w:style w:type="paragraph" w:styleId="1174" w:customStyle="1">
    <w:name w:val="标题 21"/>
    <w:basedOn w:val="964"/>
    <w:next w:val="116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75" w:customStyle="1">
    <w:name w:val="简单回函地址"/>
    <w:basedOn w:val="964"/>
    <w:uiPriority w:val="0"/>
    <w:qFormat/>
    <w:rPr>
      <w:rFonts w:cs="宋体"/>
      <w:szCs w:val="21"/>
    </w:rPr>
  </w:style>
  <w:style w:type="table" w:styleId="1176" w:customStyle="1">
    <w:name w:val="Table Normal"/>
    <w:uiPriority w:val="0"/>
    <w:semiHidden/>
    <w:unhideWhenUsed/>
    <w:qFormat/>
    <w:tblPr>
      <w:tblCellMar>
        <w:left w:w="0" w:type="dxa"/>
        <w:top w:w="0" w:type="dxa"/>
        <w:right w:w="0" w:type="dxa"/>
        <w:bottom w:w="0" w:type="dxa"/>
      </w:tblCellMar>
    </w:tblPr>
  </w:style>
  <w:style w:type="paragraph" w:styleId="1177" w:customStyle="1">
    <w:name w:val="Table Paragraph"/>
    <w:basedOn w:val="964"/>
    <w:uiPriority w:val="1"/>
    <w:qFormat/>
    <w:pPr>
      <w:jc w:val="left"/>
    </w:pPr>
    <w:rPr>
      <w:sz w:val="22"/>
      <w:lang w:eastAsia="en-US"/>
    </w:rPr>
  </w:style>
  <w:style w:type="paragraph" w:styleId="1178" w:customStyle="1">
    <w:name w:val="sh4"/>
    <w:basedOn w:val="964"/>
    <w:uiPriority w:val="0"/>
    <w:qFormat/>
    <w:pPr>
      <w:ind w:firstLine="420"/>
      <w:spacing w:line="460" w:lineRule="exact"/>
    </w:pPr>
    <w:rPr>
      <w:rFonts w:ascii="宋体" w:hAnsi="宋体"/>
      <w:szCs w:val="21"/>
      <w:lang w:eastAsia="en-US"/>
    </w:rPr>
  </w:style>
  <w:style w:type="character" w:styleId="1179" w:customStyle="1">
    <w:name w:val="正文文本 字符"/>
    <w:basedOn w:val="974"/>
    <w:link w:val="977"/>
    <w:uiPriority w:val="0"/>
    <w:qFormat/>
    <w:rPr>
      <w:rFonts w:ascii="楷体_GB2312" w:hAnsi="Arial" w:eastAsia="楷体_GB2312"/>
      <w:sz w:val="28"/>
    </w:rPr>
  </w:style>
  <w:style w:type="character" w:styleId="1180" w:customStyle="1">
    <w:name w:val="正文文本首行缩进 字符"/>
    <w:basedOn w:val="1179"/>
    <w:link w:val="976"/>
    <w:uiPriority w:val="99"/>
    <w:qFormat/>
    <w:rPr>
      <w:rFonts w:ascii="楷体_GB2312" w:hAnsi="Arial" w:eastAsia="楷体_GB2312"/>
      <w:sz w:val="28"/>
    </w:rPr>
  </w:style>
  <w:style w:type="character" w:styleId="1181" w:customStyle="1">
    <w:name w:val="纯文本 字符"/>
    <w:link w:val="986"/>
    <w:uiPriority w:val="99"/>
    <w:qFormat/>
    <w:rPr>
      <w:rFonts w:ascii="宋体" w:hAnsi="Courier New"/>
      <w:sz w:val="21"/>
    </w:rPr>
  </w:style>
  <w:style w:type="character" w:styleId="1182" w:customStyle="1">
    <w:name w:val="标题 1 字符1"/>
    <w:basedOn w:val="974"/>
    <w:uiPriority w:val="0"/>
    <w:qFormat/>
    <w:rPr>
      <w:rFonts w:ascii="宋体" w:hAnsi="宋体" w:cs="宋体"/>
      <w:b/>
      <w:sz w:val="28"/>
      <w:szCs w:val="28"/>
    </w:rPr>
  </w:style>
  <w:style w:type="character" w:styleId="1183" w:customStyle="1">
    <w:name w:val="正文缩进 字符"/>
    <w:link w:val="981"/>
    <w:uiPriority w:val="0"/>
    <w:qFormat/>
    <w:rPr>
      <w:sz w:val="21"/>
    </w:rPr>
  </w:style>
  <w:style w:type="paragraph" w:styleId="1184" w:customStyle="1">
    <w:name w:val="正文11"/>
    <w:next w:val="964"/>
    <w:uiPriority w:val="0"/>
    <w:qFormat/>
    <w:pPr>
      <w:ind w:right="-91"/>
      <w:jc w:val="both"/>
      <w:spacing w:after="160" w:line="360" w:lineRule="auto"/>
    </w:pPr>
    <w:rPr>
      <w:rFonts w:ascii="Times New Roman" w:hAnsi="Times New Roman" w:eastAsia="宋体" w:cs="Times New Roman"/>
      <w:sz w:val="21"/>
      <w:szCs w:val="24"/>
      <w:lang w:val="en-US" w:eastAsia="zh-CN" w:bidi="ar-SA"/>
    </w:rPr>
  </w:style>
  <w:style w:type="paragraph" w:styleId="1185" w:customStyle="1">
    <w:name w:val="msonormal"/>
    <w:basedOn w:val="964"/>
    <w:uiPriority w:val="0"/>
    <w:qFormat/>
    <w:pPr>
      <w:jc w:val="left"/>
      <w:spacing w:before="100" w:beforeAutospacing="1" w:after="100" w:afterAutospacing="1"/>
      <w:widowControl/>
    </w:pPr>
    <w:rPr>
      <w:rFonts w:ascii="宋体" w:hAnsi="宋体" w:cs="宋体"/>
      <w:sz w:val="24"/>
    </w:rPr>
  </w:style>
  <w:style w:type="character" w:styleId="1186" w:customStyle="1">
    <w:name w:val="正文缩进 Char"/>
    <w:link w:val="1166"/>
    <w:uiPriority w:val="0"/>
    <w:qFormat/>
    <w:rPr>
      <w:sz w:val="21"/>
      <w:szCs w:val="21"/>
    </w:rPr>
  </w:style>
  <w:style w:type="character" w:styleId="1187" w:customStyle="1">
    <w:name w:val="font61"/>
    <w:basedOn w:val="974"/>
    <w:uiPriority w:val="0"/>
    <w:qFormat/>
    <w:rPr>
      <w:rFonts w:hint="default" w:ascii="Times New Roman" w:hAnsi="Times New Roman" w:cs="Times New Roman"/>
      <w:color w:val="000000"/>
      <w:sz w:val="20"/>
      <w:szCs w:val="20"/>
      <w:u w:val="none"/>
    </w:rPr>
  </w:style>
  <w:style w:type="character" w:styleId="1188" w:customStyle="1">
    <w:name w:val="NormalCharacter"/>
    <w:uiPriority w:val="0"/>
    <w:qFormat/>
  </w:style>
  <w:style w:type="paragraph" w:styleId="1189" w:customStyle="1">
    <w:name w:val="TOC 标题11"/>
    <w:basedOn w:val="1167"/>
    <w:next w:val="964"/>
    <w:uiPriority w:val="39"/>
    <w:qFormat/>
    <w:pPr>
      <w:jc w:val="left"/>
      <w:keepLines/>
      <w:spacing w:before="240" w:line="259" w:lineRule="auto"/>
      <w:widowControl/>
      <w:outlineLvl w:val="9"/>
    </w:pPr>
    <w:rPr>
      <w:rFonts w:ascii="等线 Light" w:hAnsi="等线 Light" w:eastAsia="等线 Light"/>
      <w:color w:val="2f5496"/>
      <w:sz w:val="32"/>
      <w:szCs w:val="32"/>
    </w:rPr>
  </w:style>
  <w:style w:type="numbering" w:styleId="116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bdc06279-a521-4aad-b11a-8cfc77024fcb</errorID>
      <errorWord>,</errorWord>
      <group>L1_Format</group>
      <groupName>格式问题</groupName>
      <ability>L2_HalfPunc_CN</ability>
      <abilityName>全半角问题</abilityName>
      <candidateList>
        <item>，</item>
      </candidateList>
      <explain>文本全半角错误。</explain>
      <paraID>6048253C</paraID>
      <start>31</start>
      <end>32</end>
      <status>modified</status>
      <modifiedWord>，</modifiedWord>
      <trackRevisions>false</trackRevisions>
    </reviewItem>
    <reviewItem>
      <errorID>077c734c-9831-4512-a507-fe4adf6af49c</errorID>
      <errorWord>（</errorWord>
      <group>L1_Punc</group>
      <groupName>标点问题</groupName>
      <ability>L2_Punc_CN</ability>
      <abilityName>标点符号问题</abilityName>
      <candidateList/>
      <explain>同一形式括号套用。</explain>
      <paraID>740BA8D3</paraID>
      <start>52</start>
      <end>53</end>
      <status>ignored</status>
      <modifiedWord/>
      <trackRevisions>false</trackRevisions>
    </reviewItem>
    <reviewItem>
      <errorID>ae5213a0-f5db-4157-b20d-d4a61a0f04cb</errorID>
      <errorWord>(</errorWord>
      <group>L1_Punc</group>
      <groupName>标点问题</groupName>
      <ability>L2_Punc_CN</ability>
      <abilityName>标点符号问题</abilityName>
      <candidateList/>
      <explain>同一形式括号套用。</explain>
      <paraID>740BA8D3</paraID>
      <start>69</start>
      <end>70</end>
      <status>ignored</status>
      <modifiedWord/>
      <trackRevisions>false</trackRevisions>
    </reviewItem>
    <reviewItem>
      <errorID>e2e6aa13-bd89-4be5-a3c2-c11912f9a441</errorID>
      <errorWord>)</errorWord>
      <group>L1_Punc</group>
      <groupName>标点问题</groupName>
      <ability>L2_Punc_CN</ability>
      <abilityName>标点符号问题</abilityName>
      <candidateList/>
      <explain>同一形式括号套用。</explain>
      <paraID>740BA8D3</paraID>
      <start>87</start>
      <end>88</end>
      <status>ignored</status>
      <modifiedWord/>
      <trackRevisions>false</trackRevisions>
    </reviewItem>
    <reviewItem>
      <errorID>c5163594-77b8-4c05-b083-b4f678a760ea</errorID>
      <errorWord>）</errorWord>
      <group>L1_Punc</group>
      <groupName>标点问题</groupName>
      <ability>L2_Punc_CN</ability>
      <abilityName>标点符号问题</abilityName>
      <candidateList/>
      <explain>同一形式括号套用。</explain>
      <paraID>740BA8D3</paraID>
      <start>147</start>
      <end>148</end>
      <status>ignored</status>
      <modifiedWord/>
      <trackRevisions>false</trackRevisions>
    </reviewItem>
    <reviewItem>
      <errorID>be10c973-1560-42ec-9d72-4eaedfa0de2a</errorID>
      <errorWord>（</errorWord>
      <group>L1_Punc</group>
      <groupName>标点问题</groupName>
      <ability>L2_Punc_CN</ability>
      <abilityName>标点符号问题</abilityName>
      <candidateList/>
      <explain>同一形式括号套用。</explain>
      <paraID>2AF76672</paraID>
      <start>28</start>
      <end>29</end>
      <status>ignored</status>
      <modifiedWord/>
      <trackRevisions>false</trackRevisions>
    </reviewItem>
    <reviewItem>
      <errorID>c9e4651d-af2f-40cb-949d-9ced553f1026</errorID>
      <errorWord>）</errorWord>
      <group>L1_Punc</group>
      <groupName>标点问题</groupName>
      <ability>L2_Punc_CN</ability>
      <abilityName>标点符号问题</abilityName>
      <candidateList/>
      <explain>同一形式括号套用。</explain>
      <paraID>2AF76672</paraID>
      <start>47</start>
      <end>48</end>
      <status>ignored</status>
      <modifiedWord/>
      <trackRevisions>false</trackRevisions>
    </reviewItem>
    <reviewItem>
      <errorID>fad1804c-ea73-42c4-b019-392961306994</errorID>
      <errorWord>（</errorWord>
      <group>L1_Punc</group>
      <groupName>标点问题</groupName>
      <ability>L2_Punc_CN</ability>
      <abilityName>标点符号问题</abilityName>
      <candidateList/>
      <explain>同一形式括号套用。</explain>
      <paraID>2AF76672</paraID>
      <start>88</start>
      <end>89</end>
      <status>ignored</status>
      <modifiedWord/>
      <trackRevisions>false</trackRevisions>
    </reviewItem>
    <reviewItem>
      <errorID>528f245c-29c4-4b3b-9ecc-a376f21f675f</errorID>
      <errorWord>）</errorWord>
      <group>L1_Punc</group>
      <groupName>标点问题</groupName>
      <ability>L2_Punc_CN</ability>
      <abilityName>标点符号问题</abilityName>
      <candidateList/>
      <explain>同一形式括号套用。</explain>
      <paraID>2AF76672</paraID>
      <start>99</start>
      <end>100</end>
      <status>ignored</status>
      <modifiedWord/>
      <trackRevisions>false</trackRevisions>
    </reviewItem>
    <reviewItem>
      <errorID>7f9bab33-94ef-4784-97ff-c4d6747f805d</errorID>
      <errorWord>“.</errorWord>
      <group>L1_Punc</group>
      <groupName>标点问题</groupName>
      <ability>L2_Punc_CN</ability>
      <abilityName>标点符号问题</abilityName>
      <candidateList>
        <item>“</item>
      </candidateList>
      <explain/>
      <paraID>44E929A3</paraID>
      <start>190</start>
      <end>192</end>
      <status>ignored</status>
      <modifiedWord/>
      <trackRevisions>false</trackRevisions>
    </reviewItem>
    <reviewItem>
      <errorID>606f14c3-fcc4-4ce0-8e15-a5676e82e904</errorID>
      <errorWord>响应文件做</errorWord>
      <group>L1_Word</group>
      <groupName>字词问题</groupName>
      <ability>L2_Typo</ability>
      <abilityName>字词错误</abilityName>
      <candidateList>
        <item>响应文件作</item>
      </candidateList>
      <explain/>
      <paraID>3CC1E48C</paraID>
      <start>26</start>
      <end>31</end>
      <status>modified</status>
      <modifiedWord>响应文件作</modifiedWord>
      <trackRevisions>false</trackRevisions>
    </reviewItem>
    <reviewItem>
      <errorID>ffa32bec-69bc-46b5-9207-d79c14dabe75</errorID>
      <errorWord>所有的</errorWord>
      <group>L1_Word</group>
      <groupName>字词问题</groupName>
      <ability>L2_Typo</ability>
      <abilityName>字词错误</abilityName>
      <candidateList>
        <item>所有</item>
      </candidateList>
      <explain/>
      <paraID>36B0C264</paraID>
      <start>47</start>
      <end>50</end>
      <status>ignored</status>
      <modifiedWord/>
      <trackRevisions>false</trackRevisions>
    </reviewItem>
    <reviewItem>
      <errorID>0839cd87-54b4-4445-9b82-943a77e2d051</errorID>
      <errorWord>相应</errorWord>
      <group>L1_Word</group>
      <groupName>字词问题</groupName>
      <ability>L2_Typo</ability>
      <abilityName>字词错误</abilityName>
      <candidateList>
        <item>响应</item>
      </candidateList>
      <explain/>
      <paraID> C128185</paraID>
      <start>20</start>
      <end>22</end>
      <status>ignored</status>
      <modifiedWord/>
      <trackRevisions>false</trackRevisions>
    </reviewItem>
    <reviewItem>
      <errorID>9c17e080-9240-470c-811c-9ceb1b29d794</errorID>
      <errorWord>保持通讯畅通</errorWord>
      <group>L1_Word</group>
      <groupName>字词问题</groupName>
      <ability>L2_Typo</ability>
      <abilityName>字词错误</abilityName>
      <candidateList>
        <item>保持通信畅通</item>
      </candidateList>
      <explain/>
      <paraID>1809A8C0</paraID>
      <start>14</start>
      <end>20</end>
      <status>unmodified</status>
      <modifiedWord/>
      <trackRevisions>false</trackRevisions>
    </reviewItem>
    <reviewItem>
      <errorID>d3466af4-3930-414f-83b9-c4eb0b722b51</errorID>
      <errorWord>法律、法规</errorWord>
      <group>L1_Word</group>
      <groupName>字词问题</groupName>
      <ability>L2_Typo</ability>
      <abilityName>字词错误</abilityName>
      <candidateList>
        <item>法律法规</item>
      </candidateList>
      <explain/>
      <paraID>1647FE48</paraID>
      <start>6</start>
      <end>11</end>
      <status>unmodified</status>
      <modifiedWord/>
      <trackRevisions>false</trackRevisions>
    </reviewItem>
    <reviewItem>
      <errorID>dda879c7-092d-49a1-a593-65519899baf4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68D54FB9</paraID>
      <start>34</start>
      <end>35</end>
      <status>unmodified</status>
      <modifiedWord/>
      <trackRevisions>false</trackRevisions>
    </reviewItem>
    <reviewItem>
      <errorID>b8093928-0f4b-4ca6-b720-30bf8c5fde43</errorID>
      <errorWord>》</errorWord>
      <group>L1_Word</group>
      <groupName>字词问题</groupName>
      <ability>L2_Typo</ability>
      <abilityName>字词错误</abilityName>
      <candidateList>
        <item>》和</item>
      </candidateList>
      <explain/>
      <paraID>52B6D916</paraID>
      <start>21</start>
      <end>22</end>
      <status>unmodified</status>
      <modifiedWord/>
      <trackRevisions>false</trackRevisions>
    </reviewItem>
    <reviewItem>
      <errorID>f3220c8c-ee3a-4b38-a723-7d17dc6f000b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52B6D916</paraID>
      <start>43</start>
      <end>44</end>
      <status>unmodified</status>
      <modifiedWord/>
      <trackRevisions>false</trackRevisions>
    </reviewItem>
    <reviewItem>
      <errorID>707a4bc2-564d-4903-8613-96c2c3b58820</errorID>
      <errorWord>,</errorWord>
      <group>L1_Format</group>
      <groupName>格式问题</groupName>
      <ability>L2_HalfPunc_CN</ability>
      <abilityName>全半角问题</abilityName>
      <candidateList>
        <item>，</item>
      </candidateList>
      <explain>文本全半角错误。</explain>
      <paraID>19E39E27</paraID>
      <start>33</start>
      <end>34</end>
      <status>modified</status>
      <modifiedWord>，</modifiedWord>
      <trackRevisions>false</trackRevisions>
    </reviewItem>
    <reviewItem>
      <errorID>f8564a6e-c18f-4e9e-a854-850f0983a4c9</errorID>
      <errorWord>,</errorWord>
      <group>L1_Format</group>
      <groupName>格式问题</groupName>
      <ability>L2_HalfPunc_CN</ability>
      <abilityName>全半角问题</abilityName>
      <candidateList>
        <item>，</item>
      </candidateList>
      <explain>文本全半角错误。</explain>
      <paraID>19E39E27</paraID>
      <start>39</start>
      <end>40</end>
      <status>modified</status>
      <modifiedWord>，</modifiedWord>
      <trackRevisions>false</trackRevisions>
    </reviewItem>
    <reviewItem>
      <errorID>92723992-d36f-4083-b232-1087397e6391</errorID>
      <errorWord>围</errorWord>
      <group>L1_Word</group>
      <groupName>字词问题</groupName>
      <ability>L2_Typo</ability>
      <abilityName>字词错误</abilityName>
      <candidateList>
        <item>围内</item>
      </candidateList>
      <explain/>
      <paraID>5D0B911E</paraID>
      <start>15</start>
      <end>16</end>
      <status>unmodified</status>
      <modifiedWord/>
      <trackRevisions>false</trackRevisions>
    </reviewItem>
    <reviewItem>
      <errorID>8eed44a5-1f31-4722-81b5-d75e5dbd17a3</errorID>
      <errorWord>投标是</errorWord>
      <group>L1_Word</group>
      <groupName>字词问题</groupName>
      <ability>L2_Typo</ability>
      <abilityName>字词错误</abilityName>
      <candidateList>
        <item>投标</item>
      </candidateList>
      <explain/>
      <paraID>762337BD</paraID>
      <start>14</start>
      <end>16</end>
      <status>modified</status>
      <modifiedWord>投标</modifiedWord>
      <trackRevisions>false</trackRevisions>
    </reviewItem>
    <reviewItem>
      <errorID>6d67a5cd-d89d-4a41-9b00-7690774494c5</errorID>
      <errorWord>须</errorWord>
      <group>L1_Word</group>
      <groupName>字词问题</groupName>
      <ability>L2_Typo</ability>
      <abilityName>字词错误</abilityName>
      <candidateList>
        <item>需</item>
      </candidateList>
      <explain>存在发音相同字词的误用。</explain>
      <paraID>5A3E0162</paraID>
      <start>24</start>
      <end>25</end>
      <status>unmodified</status>
      <modifiedWord/>
      <trackRevisions>false</trackRevisions>
    </reviewItem>
    <reviewItem>
      <errorID>62082a22-9edd-4b49-a084-b406376a98b0</errorID>
      <errorWord>按法律、法规及</errorWord>
      <group>L1_Word</group>
      <groupName>字词问题</groupName>
      <ability>L2_Typo</ability>
      <abilityName>字词错误</abilityName>
      <candidateList>
        <item>按法律法规及</item>
      </candidateList>
      <explain/>
      <paraID>6717D4A7</paraID>
      <start>22</start>
      <end>29</end>
      <status>unmodified</status>
      <modifiedWord/>
      <trackRevisions>false</trackRevisions>
    </reviewItem>
    <reviewItem>
      <errorID>6c8fdede-e11b-4b23-961b-cadf2be146ed</errorID>
      <errorWord>需具备</errorWord>
      <group>L1_Word</group>
      <groupName>字词问题</groupName>
      <ability>L2_Typo</ability>
      <abilityName>字词错误</abilityName>
      <candidateList>
        <item>须具备</item>
      </candidateList>
      <explain/>
      <paraID>5CD8B6B0</paraID>
      <start>16</start>
      <end>19</end>
      <status>unmodified</status>
      <modifiedWord/>
      <trackRevisions>false</trackRevisions>
    </reviewItem>
    <reviewItem>
      <errorID>b706117e-d8a8-40f9-994c-8076f9e1fafd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3835A1D4</paraID>
      <start>183</start>
      <end>187</end>
      <status>unmodified</status>
      <modifiedWord/>
      <trackRevisions>false</trackRevisions>
    </reviewItem>
    <reviewItem>
      <errorID>9f1e5376-aa7a-43a2-a7ac-8b7164320a36</errorID>
      <errorWord>&lt;</errorWord>
      <group>L1_Format</group>
      <groupName>格式问题</groupName>
      <ability>L2_HalfPunc_CN</ability>
      <abilityName>全半角问题</abilityName>
      <candidateList>
        <item>〈</item>
      </candidateList>
      <explain>文本全半角错误。</explain>
      <paraID> 36324DE</paraID>
      <start>33</start>
      <end>34</end>
      <status>modified</status>
      <modifiedWord>〈</modifiedWord>
      <trackRevisions>false</trackRevisions>
    </reviewItem>
    <reviewItem>
      <errorID>f5a66f1a-033c-426b-b9c0-c0d0609adaab</errorID>
      <errorWord>&lt;</errorWord>
      <group>L1_Format</group>
      <groupName>格式问题</groupName>
      <ability>L2_HalfPunc_CN</ability>
      <abilityName>全半角问题</abilityName>
      <candidateList>
        <item>〈</item>
      </candidateList>
      <explain>文本全半角错误。</explain>
      <paraID>3F8FE55E</paraID>
      <start>35</start>
      <end>36</end>
      <status>modified</status>
      <modifiedWord>〈</modifiedWord>
      <trackRevisions>false</trackRevisions>
    </reviewItem>
    <reviewItem>
      <errorID>f56ccb97-1444-487e-9d3e-1bb82fc8060e</errorID>
      <errorWord>蓬径</errorWord>
      <group>L1_Word</group>
      <groupName>字词问题</groupName>
      <ability>L2_Typo</ability>
      <abilityName>字词错误</abilityName>
      <candidateList>
        <item>蓬勃</item>
      </candidateList>
      <explain/>
      <paraID>4E796B97</paraID>
      <start>14</start>
      <end>16</end>
      <status>unmodified</status>
      <modifiedWord/>
      <trackRevisions>false</trackRevisions>
    </reviewItem>
    <reviewItem>
      <errorID>c807ead8-c212-4370-a148-8a35f5544aeb</errorID>
      <errorWord>(</errorWord>
      <group>L1_Format</group>
      <groupName>格式问题</groupName>
      <ability>L2_HalfPunc_CN</ability>
      <abilityName>全半角问题</abilityName>
      <candidateList>
        <item>（</item>
      </candidateList>
      <explain>文本全半角错误。</explain>
      <paraID>127BE2DE</paraID>
      <start>85</start>
      <end>86</end>
      <status>modified</status>
      <modifiedWord>（</modifiedWord>
      <trackRevisions>false</trackRevisions>
    </reviewItem>
    <reviewItem>
      <errorID>5b5322d7-408f-4e24-b804-3767b8829997</errorID>
      <errorWord>)</errorWord>
      <group>L1_Format</group>
      <groupName>格式问题</groupName>
      <ability>L2_HalfPunc_CN</ability>
      <abilityName>全半角问题</abilityName>
      <candidateList>
        <item>）</item>
      </candidateList>
      <explain>文本全半角错误。</explain>
      <paraID>127BE2DE</paraID>
      <start>96</start>
      <end>97</end>
      <status>modified</status>
      <modifiedWord>）</modifiedWord>
      <trackRevisions>false</trackRevisions>
    </reviewItem>
    <reviewItem>
      <errorID>b43c9a5e-789f-4cea-b629-95a8810b3f1f</errorID>
      <errorWord>，。</errorWord>
      <group>L1_Punc</group>
      <groupName>标点问题</groupName>
      <ability>L2_Punc_CN</ability>
      <abilityName>标点符号问题</abilityName>
      <candidateList>
        <item>，</item>
      </candidateList>
      <explain/>
      <paraID>701A3DED</paraID>
      <start>61</start>
      <end>63</end>
      <status>unmodified</status>
      <modifiedWord/>
      <trackRevisions>false</trackRevisions>
    </reviewItem>
    <reviewItem>
      <errorID>96c8e57e-d0e2-4b0d-af0c-3cef4b483cc5</errorID>
      <errorWord>晰</errorWord>
      <group>L1_Word</group>
      <groupName>字词问题</groupName>
      <ability>L2_Typo</ability>
      <abilityName>字词错误</abilityName>
      <candidateList>
        <item>晰地</item>
      </candidateList>
      <explain/>
      <paraID>2F654A07</paraID>
      <start>56</start>
      <end>57</end>
      <status>unmodified</status>
      <modifiedWord/>
      <trackRevisions>false</trackRevisions>
    </reviewItem>
    <reviewItem>
      <errorID>1b5e54a8-6911-4821-88a0-f13c6ea74bab</errorID>
      <errorWord>详实</errorWord>
      <group>L1_Word</group>
      <groupName>字词问题</groupName>
      <ability>L2_Typo</ability>
      <abilityName>字词错误</abilityName>
      <candidateList>
        <item>翔实</item>
      </candidateList>
      <explain>存在发音相同字词的误用。</explain>
      <paraID>7668FDB7</paraID>
      <start>23</start>
      <end>25</end>
      <status>unmodified</status>
      <modifiedWord/>
      <trackRevisions>false</trackRevisions>
    </reviewItem>
    <reviewItem>
      <errorID>79a8d34e-8355-41cb-9f6f-13f425fd8ba1</errorID>
      <errorWord>年</errorWord>
      <group>L1_Word</group>
      <groupName>字词问题</groupName>
      <ability>L2_Typo</ability>
      <abilityName>字词错误</abilityName>
      <candidateList>
        <item>年来</item>
      </candidateList>
      <explain/>
      <paraID> C52EAD8</paraID>
      <start>6</start>
      <end>7</end>
      <status>unmodified</status>
      <modifiedWord/>
      <trackRevisions>false</trackRevisions>
    </reviewItem>
    <reviewItem>
      <errorID>e0356658-4354-4ff4-95a6-2b62f97629ec</errorID>
      <errorWord>(</errorWord>
      <group>L1_Format</group>
      <groupName>格式问题</groupName>
      <ability>L2_HalfPunc_CN</ability>
      <abilityName>全半角问题</abilityName>
      <candidateList>
        <item>（</item>
      </candidateList>
      <explain>文本全半角错误。</explain>
      <paraID>26067BF4</paraID>
      <start>57</start>
      <end>58</end>
      <status>modified</status>
      <modifiedWord>（</modifiedWord>
      <trackRevisions>false</trackRevisions>
    </reviewItem>
    <reviewItem>
      <errorID>d228206f-4f66-45d7-b60e-c0393d778f16</errorID>
      <errorWord>)</errorWord>
      <group>L1_Format</group>
      <groupName>格式问题</groupName>
      <ability>L2_HalfPunc_CN</ability>
      <abilityName>全半角问题</abilityName>
      <candidateList>
        <item>）</item>
      </candidateList>
      <explain>文本全半角错误。</explain>
      <paraID>26067BF4</paraID>
      <start>63</start>
      <end>64</end>
      <status>modified</status>
      <modifiedWord>）</modifiedWord>
      <trackRevisions>false</trackRevisions>
    </reviewItem>
    <reviewItem>
      <errorID>0866f9ad-cb71-4ef4-b9ab-25c09f30a5e9</errorID>
      <errorWord>间</errorWord>
      <group>L1_Word</group>
      <groupName>字词问题</groupName>
      <ability>L2_Typo</ability>
      <abilityName>字词错误</abilityName>
      <candidateList>
        <item>间内</item>
      </candidateList>
      <explain/>
      <paraID>33D30003</paraID>
      <start>44</start>
      <end>45</end>
      <status>unmodified</status>
      <modifiedWord/>
      <trackRevisions>false</trackRevisions>
    </reviewItem>
    <reviewItem>
      <errorID>e7aa8293-b8bb-49a8-9eb4-7d92731299e6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204815D5</paraID>
      <start>0</start>
      <end>2</end>
      <status>modified</status>
      <modifiedWord>1.</modifiedWord>
      <trackRevisions>false</trackRevisions>
    </reviewItem>
    <reviewItem>
      <errorID>928c1361-406f-440f-90c8-ce556289b43c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30FD7841</paraID>
      <start>0</start>
      <end>2</end>
      <status>modified</status>
      <modifiedWord>2.</modifiedWord>
      <trackRevisions>false</trackRevisions>
    </reviewItem>
    <reviewItem>
      <errorID>ae25404f-194d-4611-89e7-c92e6341da33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6BC7CA8E</paraID>
      <start>0</start>
      <end>2</end>
      <status>modified</status>
      <modifiedWord>3.</modifiedWord>
      <trackRevisions>false</trackRevisions>
    </reviewItem>
    <reviewItem>
      <errorID>c87d07ba-2e16-4dbb-b213-11d841b3f140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61669EC8</paraID>
      <start>0</start>
      <end>2</end>
      <status>modified</status>
      <modifiedWord>4.</modifiedWord>
      <trackRevisions>false</trackRevisions>
    </reviewItem>
    <reviewItem>
      <errorID>d829bf33-8533-47d7-9153-a098ade0dd5f</errorID>
      <errorWord>须</errorWord>
      <group>L1_Word</group>
      <groupName>字词问题</groupName>
      <ability>L2_Typo</ability>
      <abilityName>字词错误</abilityName>
      <candidateList>
        <item>需</item>
      </candidateList>
      <explain>存在发音相同字词的误用。</explain>
      <paraID>7BC8138B</paraID>
      <start>24</start>
      <end>25</end>
      <status>unmodified</status>
      <modifiedWord/>
      <trackRevisions>false</trackRevisions>
    </reviewItem>
    <reviewItem>
      <errorID>a9080665-39a5-4693-ac46-7b6a0fcc3672</errorID>
      <errorWord>&lt;</errorWord>
      <group>L1_Format</group>
      <groupName>格式问题</groupName>
      <ability>L2_HalfPunc_CN</ability>
      <abilityName>全半角问题</abilityName>
      <candidateList>
        <item>〈</item>
      </candidateList>
      <explain>文本全半角错误。</explain>
      <paraID> D8D9792</paraID>
      <start>31</start>
      <end>32</end>
      <status>modified</status>
      <modifiedWord>〈</modifiedWord>
      <trackRevisions>false</trackRevisions>
    </reviewItem>
    <reviewItem>
      <errorID>baeb226f-04cf-40b8-8901-d760ad72972d</errorID>
      <errorWord>&lt;</errorWord>
      <group>L1_Format</group>
      <groupName>格式问题</groupName>
      <ability>L2_HalfPunc_CN</ability>
      <abilityName>全半角问题</abilityName>
      <candidateList>
        <item>〈</item>
      </candidateList>
      <explain>文本全半角错误。</explain>
      <paraID>35D989C6</paraID>
      <start>33</start>
      <end>34</end>
      <status>modified</status>
      <modifiedWord>〈</modifiedWord>
      <trackRevisions>false</trackRevisions>
    </reviewItem>
    <reviewItem>
      <errorID>3024ee71-db6f-418e-9351-accaa9676074</errorID>
      <errorWord>(</errorWord>
      <group>L1_Format</group>
      <groupName>格式问题</groupName>
      <ability>L2_HalfPunc_CN</ability>
      <abilityName>全半角问题</abilityName>
      <candidateList>
        <item>（</item>
      </candidateList>
      <explain>文本全半角错误。</explain>
      <paraID>464BE2CD</paraID>
      <start>53</start>
      <end>54</end>
      <status>modified</status>
      <modifiedWord>（</modifiedWord>
      <trackRevisions>false</trackRevisions>
    </reviewItem>
    <reviewItem>
      <errorID>a1927e0b-deef-4cd7-bf85-e58f287a1cd7</errorID>
      <errorWord>)</errorWord>
      <group>L1_Format</group>
      <groupName>格式问题</groupName>
      <ability>L2_HalfPunc_CN</ability>
      <abilityName>全半角问题</abilityName>
      <candidateList>
        <item>）</item>
      </candidateList>
      <explain>文本全半角错误。</explain>
      <paraID>464BE2CD</paraID>
      <start>57</start>
      <end>58</end>
      <status>modified</status>
      <modifiedWord>）</modifiedWord>
      <trackRevisions>false</trackRevisions>
    </reviewItem>
    <reviewItem>
      <errorID>5bb73775-8fbb-461b-a9f4-ed5eecd2c64e</errorID>
      <errorWord>（</errorWord>
      <group>L1_Punc</group>
      <groupName>标点问题</groupName>
      <ability>L2_Punc_CN</ability>
      <abilityName>标点符号问题</abilityName>
      <candidateList/>
      <explain>同一形式括号套用。</explain>
      <paraID>21C1E825</paraID>
      <start>27</start>
      <end>28</end>
      <status>ignored</status>
      <modifiedWord/>
      <trackRevisions>false</trackRevisions>
    </reviewItem>
    <reviewItem>
      <errorID>af0e87c4-d29a-4972-8af3-8f42d21a0433</errorID>
      <errorWord>【2011】300号</errorWord>
      <group>L1_Knowledge</group>
      <groupName>知识性问题</groupName>
      <ability>L2_Knowledge</ability>
      <abilityName>其他知识</abilityName>
      <candidateList>
        <item>〔2011〕300号</item>
      </candidateList>
      <explain>发文字号格式错误。</explain>
      <paraID>21C1E825</paraID>
      <start>34</start>
      <end>44</end>
      <status>unmodified</status>
      <modifiedWord/>
      <trackRevisions>false</trackRevisions>
    </reviewItem>
    <reviewItem>
      <errorID>d331ddbe-cd2f-4876-8440-28520ca6ffbe</errorID>
      <errorWord>）</errorWord>
      <group>L1_Punc</group>
      <groupName>标点问题</groupName>
      <ability>L2_Punc_CN</ability>
      <abilityName>标点符号问题</abilityName>
      <candidateList/>
      <explain>同一形式括号套用。</explain>
      <paraID>21C1E825</paraID>
      <start>44</start>
      <end>45</end>
      <status>unmodified</status>
      <modifiedWord/>
      <trackRevisions>false</trackRevisions>
    </reviewItem>
    <reviewItem>
      <errorID>733dd3f3-51e0-45e2-a507-c4fb1ccce1fb</errorID>
      <errorWord>〔2017〕 141号</errorWord>
      <group>L1_Knowledge</group>
      <groupName>知识性问题</groupName>
      <ability>L2_Knowledge</ability>
      <abilityName>其他知识</abilityName>
      <candidateList>
        <item>〔2017〕141号</item>
      </candidateList>
      <explain>发文字号格式错误。</explain>
      <paraID>51DFBA69</paraID>
      <start>49</start>
      <end>60</end>
      <status>unmodified</status>
      <modifiedWord/>
      <trackRevisions>false</trackRevisions>
    </reviewItem>
    <reviewItem>
      <errorID>4b67887f-2c8e-418d-9866-db4fc1513cca</errorID>
      <errorWord>（</errorWord>
      <group>L1_Punc</group>
      <groupName>标点问题</groupName>
      <ability>L2_Punc_CN</ability>
      <abilityName>标点符号问题</abilityName>
      <candidateList/>
      <explain>同一形式括号套用。</explain>
      <paraID>377972AC</paraID>
      <start>0</start>
      <end>1</end>
      <status>unmodified</status>
      <modifiedWord/>
      <trackRevisions>false</trackRevisions>
    </reviewItem>
    <reviewItem>
      <errorID>f981fcac-5df5-471a-8732-2b12935f371f</errorID>
      <errorWord>(</errorWord>
      <group>L1_Punc</group>
      <groupName>标点问题</groupName>
      <ability>L2_Punc_CN</ability>
      <abilityName>标点符号问题</abilityName>
      <candidateList/>
      <explain>同一形式括号套用。</explain>
      <paraID>377972AC</paraID>
      <start>19</start>
      <end>20</end>
      <status>unmodified</status>
      <modifiedWord/>
      <trackRevisions>false</trackRevisions>
    </reviewItem>
    <reviewItem>
      <errorID>1d4e7174-4e6c-4261-afac-a17a62a66529</errorID>
      <errorWord>)</errorWord>
      <group>L1_Punc</group>
      <groupName>标点问题</groupName>
      <ability>L2_Punc_CN</ability>
      <abilityName>标点符号问题</abilityName>
      <candidateList/>
      <explain>同一形式括号套用。</explain>
      <paraID>377972AC</paraID>
      <start>29</start>
      <end>30</end>
      <status>unmodified</status>
      <modifiedWord/>
      <trackRevisions>false</trackRevisions>
    </reviewItem>
    <reviewItem>
      <errorID>e06e6e10-681b-43ab-be11-5d497bf98cc6</errorID>
      <errorWord>）</errorWord>
      <group>L1_Punc</group>
      <groupName>标点问题</groupName>
      <ability>L2_Punc_CN</ability>
      <abilityName>标点符号问题</abilityName>
      <candidateList/>
      <explain>同一形式括号套用。</explain>
      <paraID>377972AC</paraID>
      <start>44</start>
      <end>45</end>
      <status>unmodified</status>
      <modifiedWord/>
      <trackRevisions>false</trackRevisions>
    </reviewItem>
    <reviewItem>
      <errorID>758f5a83-7fb7-40c7-81e9-9aa0735e28b9</errorID>
      <errorWord>,</errorWord>
      <group>L1_Format</group>
      <groupName>格式问题</groupName>
      <ability>L2_HalfPunc_CN</ability>
      <abilityName>全半角问题</abilityName>
      <candidateList>
        <item>，</item>
      </candidateList>
      <explain>文本全半角错误。</explain>
      <paraID>5B0CE991</paraID>
      <start>45</start>
      <end>46</end>
      <status>modified</status>
      <modifiedWord>，</modifiedWord>
      <trackRevisions>false</trackRevisions>
    </reviewItem>
    <reviewItem>
      <errorID>2ce903d9-75ae-45f2-8bbb-a5bab4b5c00d</errorID>
      <errorWord>(</errorWord>
      <group>L1_Format</group>
      <groupName>格式问题</groupName>
      <ability>L2_HalfPunc_CN</ability>
      <abilityName>全半角问题</abilityName>
      <candidateList>
        <item>（</item>
      </candidateList>
      <explain>文本全半角错误。</explain>
      <paraID>326E6E80</paraID>
      <start>2</start>
      <end>3</end>
      <status>modified</status>
      <modifiedWord>（</modifiedWord>
      <trackRevisions>false</trackRevisions>
    </reviewItem>
    <reviewItem>
      <errorID>3f342e95-b03e-49a3-a659-a74bf6cd8a4b</errorID>
      <errorWord>)</errorWord>
      <group>L1_Format</group>
      <groupName>格式问题</groupName>
      <ability>L2_HalfPunc_CN</ability>
      <abilityName>全半角问题</abilityName>
      <candidateList>
        <item>）</item>
      </candidateList>
      <explain>文本全半角错误。</explain>
      <paraID>326E6E80</paraID>
      <start>5</start>
      <end>6</end>
      <status>modified</status>
      <modifiedWord>）</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A5C64D3-A9DF-44AF-BCB5-D1376C760DFA}"/>
</file>

<file path=customXml/itemProps2.xml><?xml version="1.0" encoding="utf-8"?>
<ds:datastoreItem xmlns:ds="http://schemas.openxmlformats.org/officeDocument/2006/customXml" ds:itemID="{B377333D-66A7-4700-B153-98638852F996}"/>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王璘</dc:creator>
  <cp:lastModifiedBy>祝云</cp:lastModifiedBy>
  <cp:revision>544</cp:revision>
  <dcterms:created xsi:type="dcterms:W3CDTF">2023-03-28T01:23:00Z</dcterms:created>
  <dcterms:modified xsi:type="dcterms:W3CDTF">2026-10-12T01:39:55Z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87A777ACD6624CE38098538FECE92720_13</vt:lpwstr>
  </property>
  <property fmtid="{D5CDD505-2E9C-101B-9397-08002B2CF9AE}" pid="4" name="KSOTemplateDocerSaveRecord">
    <vt:lpwstr>eyJoZGlkIjoiNTYxYWE0NjJkYWE0NTE1NDAyM2IxOWRkMDE3MjE0ZTciLCJ1c2VySWQiOiI0MDczODczNTAifQ==</vt:lpwstr>
  </property>
</Properties>
</file>